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8C" w:rsidRPr="00BA06F2" w:rsidRDefault="003B5947" w:rsidP="00F20EF9">
      <w:pPr>
        <w:jc w:val="center"/>
        <w:rPr>
          <w:rFonts w:ascii="Arial Black" w:hAnsi="Arial Black"/>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11pt;width:99pt;height:80.15pt;z-index:251658240;mso-position-horizontal-relative:text;mso-position-vertical-relative:text">
            <v:imagedata r:id="rId9" o:title="" gain="109227f"/>
            <w10:wrap type="topAndBottom"/>
          </v:shape>
          <o:OLEObject Type="Embed" ProgID="WPWin6.1" ShapeID="_x0000_s1026" DrawAspect="Content" ObjectID="_1479531407" r:id="rId10"/>
        </w:pict>
      </w:r>
    </w:p>
    <w:p w:rsidR="003504A9" w:rsidRPr="00BA06F2" w:rsidRDefault="00D36F8C" w:rsidP="00F20EF9">
      <w:pPr>
        <w:jc w:val="center"/>
        <w:rPr>
          <w:rFonts w:ascii="Arial Black" w:hAnsi="Arial Black"/>
          <w:sz w:val="24"/>
          <w:szCs w:val="24"/>
        </w:rPr>
      </w:pPr>
      <w:r w:rsidRPr="00BA06F2">
        <w:rPr>
          <w:rFonts w:ascii="Arial Black" w:hAnsi="Arial Black"/>
          <w:sz w:val="24"/>
          <w:szCs w:val="24"/>
        </w:rPr>
        <w:t xml:space="preserve">PREA </w:t>
      </w:r>
      <w:r w:rsidR="00AB0977" w:rsidRPr="00BA06F2">
        <w:rPr>
          <w:rFonts w:ascii="Arial Black" w:hAnsi="Arial Black"/>
          <w:sz w:val="24"/>
          <w:szCs w:val="24"/>
        </w:rPr>
        <w:t>Annual Report</w:t>
      </w:r>
      <w:r w:rsidR="00CD0874" w:rsidRPr="00BA06F2">
        <w:rPr>
          <w:rFonts w:ascii="Arial Black" w:hAnsi="Arial Black"/>
          <w:sz w:val="24"/>
          <w:szCs w:val="24"/>
        </w:rPr>
        <w:t xml:space="preserve"> - 2013</w:t>
      </w:r>
    </w:p>
    <w:p w:rsidR="008603D0" w:rsidRPr="00BA06F2" w:rsidRDefault="00334F93" w:rsidP="008603D0">
      <w:pPr>
        <w:spacing w:after="0"/>
        <w:jc w:val="center"/>
        <w:rPr>
          <w:rFonts w:ascii="Arial Black" w:hAnsi="Arial Black"/>
          <w:sz w:val="18"/>
          <w:szCs w:val="18"/>
        </w:rPr>
      </w:pPr>
      <w:r w:rsidRPr="00BA06F2">
        <w:rPr>
          <w:rFonts w:ascii="Arial Black" w:hAnsi="Arial Black"/>
        </w:rPr>
        <w:t xml:space="preserve"> </w:t>
      </w:r>
      <w:r w:rsidR="00F20EF9" w:rsidRPr="00BA06F2">
        <w:rPr>
          <w:rFonts w:ascii="Arial Black" w:hAnsi="Arial Black"/>
          <w:sz w:val="18"/>
          <w:szCs w:val="18"/>
        </w:rPr>
        <w:t>Avery D. Niles, Commissioner</w:t>
      </w:r>
    </w:p>
    <w:p w:rsidR="00AB0977" w:rsidRPr="00BA06F2" w:rsidRDefault="00AB0977" w:rsidP="008603D0">
      <w:pPr>
        <w:spacing w:after="0"/>
        <w:jc w:val="center"/>
        <w:rPr>
          <w:rFonts w:ascii="Arial Black" w:hAnsi="Arial Black"/>
          <w:sz w:val="18"/>
          <w:szCs w:val="18"/>
        </w:rPr>
      </w:pPr>
      <w:r w:rsidRPr="00BA06F2">
        <w:rPr>
          <w:rFonts w:ascii="Arial Black" w:hAnsi="Arial Black"/>
          <w:sz w:val="18"/>
          <w:szCs w:val="18"/>
        </w:rPr>
        <w:t>Sarah Draper, Deputy Commissioner of Operations &amp; Compliance</w:t>
      </w:r>
    </w:p>
    <w:p w:rsidR="00AB0977" w:rsidRPr="00BA06F2" w:rsidRDefault="00AB0977" w:rsidP="00FF0CF5">
      <w:pPr>
        <w:spacing w:after="0" w:line="240" w:lineRule="auto"/>
        <w:jc w:val="both"/>
        <w:rPr>
          <w:rFonts w:cstheme="minorHAnsi"/>
          <w:sz w:val="24"/>
          <w:szCs w:val="24"/>
        </w:rPr>
      </w:pPr>
    </w:p>
    <w:p w:rsidR="000D1138" w:rsidRPr="00BA06F2" w:rsidRDefault="000D1138" w:rsidP="00A901CD">
      <w:pPr>
        <w:spacing w:after="0" w:line="240" w:lineRule="auto"/>
        <w:jc w:val="center"/>
        <w:rPr>
          <w:rFonts w:ascii="Arial Black" w:hAnsi="Arial Black" w:cstheme="minorHAnsi"/>
          <w:b/>
          <w:sz w:val="20"/>
          <w:szCs w:val="20"/>
          <w:u w:val="single"/>
        </w:rPr>
      </w:pPr>
      <w:r w:rsidRPr="00BA06F2">
        <w:rPr>
          <w:rFonts w:ascii="Arial Black" w:hAnsi="Arial Black" w:cstheme="minorHAnsi"/>
          <w:b/>
          <w:sz w:val="20"/>
          <w:szCs w:val="20"/>
          <w:u w:val="single"/>
        </w:rPr>
        <w:t>Table of Contents</w:t>
      </w:r>
    </w:p>
    <w:p w:rsidR="000D1138" w:rsidRPr="00BA06F2" w:rsidRDefault="000D1138" w:rsidP="00FF0CF5">
      <w:pPr>
        <w:spacing w:after="0" w:line="240" w:lineRule="auto"/>
        <w:jc w:val="both"/>
        <w:rPr>
          <w:rFonts w:cstheme="minorHAnsi"/>
          <w:sz w:val="24"/>
          <w:szCs w:val="24"/>
        </w:rPr>
      </w:pPr>
    </w:p>
    <w:p w:rsidR="00B5058A" w:rsidRPr="00BA06F2" w:rsidRDefault="00B5058A" w:rsidP="00FF0CF5">
      <w:pPr>
        <w:spacing w:after="0" w:line="240" w:lineRule="auto"/>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846"/>
      </w:tblGrid>
      <w:tr w:rsidR="000D1138" w:rsidRPr="00BA06F2" w:rsidTr="00282352">
        <w:tc>
          <w:tcPr>
            <w:tcW w:w="9018" w:type="dxa"/>
          </w:tcPr>
          <w:p w:rsidR="000D1138" w:rsidRPr="00BA06F2" w:rsidRDefault="000D1138" w:rsidP="00FF0CF5">
            <w:pPr>
              <w:jc w:val="both"/>
              <w:rPr>
                <w:rFonts w:cstheme="minorHAnsi"/>
                <w:b/>
              </w:rPr>
            </w:pPr>
            <w:r w:rsidRPr="00BA06F2">
              <w:rPr>
                <w:rFonts w:cstheme="minorHAnsi"/>
                <w:b/>
              </w:rPr>
              <w:t xml:space="preserve">Prison Rape Elimination Act (PREA) </w:t>
            </w:r>
          </w:p>
          <w:p w:rsidR="00A901CD" w:rsidRPr="00BA06F2" w:rsidRDefault="00A901CD" w:rsidP="00FF0CF5">
            <w:pPr>
              <w:jc w:val="both"/>
              <w:rPr>
                <w:rFonts w:cstheme="minorHAnsi"/>
                <w:b/>
                <w:sz w:val="16"/>
                <w:szCs w:val="16"/>
              </w:rPr>
            </w:pPr>
          </w:p>
        </w:tc>
        <w:tc>
          <w:tcPr>
            <w:tcW w:w="846" w:type="dxa"/>
          </w:tcPr>
          <w:p w:rsidR="000D1138" w:rsidRPr="00BA06F2" w:rsidRDefault="00B5058A" w:rsidP="00282352">
            <w:pPr>
              <w:jc w:val="right"/>
              <w:rPr>
                <w:rFonts w:cstheme="minorHAnsi"/>
                <w:b/>
              </w:rPr>
            </w:pPr>
            <w:r w:rsidRPr="00BA06F2">
              <w:rPr>
                <w:rFonts w:cstheme="minorHAnsi"/>
                <w:b/>
              </w:rPr>
              <w:t>2</w:t>
            </w:r>
          </w:p>
        </w:tc>
      </w:tr>
      <w:tr w:rsidR="001128FE" w:rsidRPr="00BA06F2" w:rsidTr="00282352">
        <w:tc>
          <w:tcPr>
            <w:tcW w:w="9018" w:type="dxa"/>
          </w:tcPr>
          <w:p w:rsidR="001128FE" w:rsidRPr="00BA06F2" w:rsidRDefault="00282352" w:rsidP="00FF0CF5">
            <w:pPr>
              <w:jc w:val="both"/>
              <w:rPr>
                <w:rFonts w:cstheme="minorHAnsi"/>
                <w:b/>
              </w:rPr>
            </w:pPr>
            <w:r w:rsidRPr="00BA06F2">
              <w:rPr>
                <w:rFonts w:cstheme="minorHAnsi"/>
                <w:b/>
              </w:rPr>
              <w:t xml:space="preserve">Georgia </w:t>
            </w:r>
            <w:r w:rsidR="001128FE" w:rsidRPr="00BA06F2">
              <w:rPr>
                <w:rFonts w:cstheme="minorHAnsi"/>
                <w:b/>
              </w:rPr>
              <w:t>Department of Juvenile Justice</w:t>
            </w:r>
          </w:p>
          <w:p w:rsidR="001128FE" w:rsidRPr="00BA06F2" w:rsidRDefault="001128FE" w:rsidP="00FF0CF5">
            <w:pPr>
              <w:jc w:val="both"/>
              <w:rPr>
                <w:rFonts w:cstheme="minorHAnsi"/>
                <w:b/>
              </w:rPr>
            </w:pPr>
          </w:p>
        </w:tc>
        <w:tc>
          <w:tcPr>
            <w:tcW w:w="846" w:type="dxa"/>
          </w:tcPr>
          <w:p w:rsidR="001128FE" w:rsidRPr="00BA06F2" w:rsidRDefault="00B5058A" w:rsidP="00282352">
            <w:pPr>
              <w:jc w:val="right"/>
              <w:rPr>
                <w:rFonts w:cstheme="minorHAnsi"/>
                <w:b/>
              </w:rPr>
            </w:pPr>
            <w:r w:rsidRPr="00BA06F2">
              <w:rPr>
                <w:rFonts w:cstheme="minorHAnsi"/>
                <w:b/>
              </w:rPr>
              <w:t>2</w:t>
            </w:r>
          </w:p>
        </w:tc>
      </w:tr>
      <w:tr w:rsidR="00A901CD" w:rsidRPr="00BA06F2" w:rsidTr="00282352">
        <w:tc>
          <w:tcPr>
            <w:tcW w:w="9018" w:type="dxa"/>
          </w:tcPr>
          <w:p w:rsidR="00A901CD" w:rsidRPr="00BA06F2" w:rsidRDefault="00A901CD" w:rsidP="00FF0CF5">
            <w:pPr>
              <w:jc w:val="both"/>
              <w:rPr>
                <w:rFonts w:cstheme="minorHAnsi"/>
                <w:b/>
              </w:rPr>
            </w:pPr>
            <w:r w:rsidRPr="00BA06F2">
              <w:rPr>
                <w:rFonts w:cstheme="minorHAnsi"/>
                <w:b/>
              </w:rPr>
              <w:t>PREA Accomplishments</w:t>
            </w:r>
          </w:p>
          <w:p w:rsidR="00A901CD" w:rsidRPr="00BA06F2" w:rsidRDefault="00A901CD" w:rsidP="00FF0CF5">
            <w:pPr>
              <w:jc w:val="both"/>
              <w:rPr>
                <w:rFonts w:cstheme="minorHAnsi"/>
                <w:b/>
                <w:sz w:val="16"/>
                <w:szCs w:val="16"/>
              </w:rPr>
            </w:pPr>
          </w:p>
        </w:tc>
        <w:tc>
          <w:tcPr>
            <w:tcW w:w="846" w:type="dxa"/>
          </w:tcPr>
          <w:p w:rsidR="00A901CD" w:rsidRPr="00BA06F2" w:rsidRDefault="00B5058A" w:rsidP="00282352">
            <w:pPr>
              <w:jc w:val="right"/>
              <w:rPr>
                <w:rFonts w:cstheme="minorHAnsi"/>
                <w:b/>
              </w:rPr>
            </w:pPr>
            <w:r w:rsidRPr="00BA06F2">
              <w:rPr>
                <w:rFonts w:cstheme="minorHAnsi"/>
                <w:b/>
              </w:rPr>
              <w:t>2</w:t>
            </w:r>
            <w:r w:rsidR="00A901CD" w:rsidRPr="00BA06F2">
              <w:rPr>
                <w:rFonts w:cstheme="minorHAnsi"/>
                <w:b/>
              </w:rPr>
              <w:t>-</w:t>
            </w:r>
            <w:r w:rsidRPr="00BA06F2">
              <w:rPr>
                <w:rFonts w:cstheme="minorHAnsi"/>
                <w:b/>
              </w:rPr>
              <w:t>5</w:t>
            </w:r>
          </w:p>
        </w:tc>
      </w:tr>
      <w:tr w:rsidR="00B5058A" w:rsidRPr="00BA06F2" w:rsidTr="00282352">
        <w:tc>
          <w:tcPr>
            <w:tcW w:w="9018" w:type="dxa"/>
          </w:tcPr>
          <w:p w:rsidR="00B5058A" w:rsidRPr="00BA06F2" w:rsidRDefault="00282352" w:rsidP="00282352">
            <w:pPr>
              <w:jc w:val="both"/>
              <w:rPr>
                <w:rFonts w:cstheme="minorHAnsi"/>
                <w:b/>
              </w:rPr>
            </w:pPr>
            <w:r w:rsidRPr="00BA06F2">
              <w:rPr>
                <w:rFonts w:cstheme="minorHAnsi"/>
                <w:b/>
              </w:rPr>
              <w:t xml:space="preserve">The Agency - </w:t>
            </w:r>
            <w:r w:rsidR="00B5058A" w:rsidRPr="00BA06F2">
              <w:rPr>
                <w:rFonts w:cstheme="minorHAnsi"/>
                <w:b/>
              </w:rPr>
              <w:t>Way Ahead to Further Success</w:t>
            </w:r>
          </w:p>
        </w:tc>
        <w:tc>
          <w:tcPr>
            <w:tcW w:w="846" w:type="dxa"/>
          </w:tcPr>
          <w:p w:rsidR="00B5058A" w:rsidRPr="00BA06F2" w:rsidRDefault="00B5058A" w:rsidP="00282352">
            <w:pPr>
              <w:jc w:val="right"/>
              <w:rPr>
                <w:rFonts w:cstheme="minorHAnsi"/>
                <w:b/>
              </w:rPr>
            </w:pPr>
            <w:r w:rsidRPr="00BA06F2">
              <w:rPr>
                <w:rFonts w:cstheme="minorHAnsi"/>
                <w:b/>
              </w:rPr>
              <w:t>5</w:t>
            </w:r>
          </w:p>
          <w:p w:rsidR="00B5058A" w:rsidRPr="00BA06F2" w:rsidRDefault="00B5058A" w:rsidP="00282352">
            <w:pPr>
              <w:jc w:val="right"/>
              <w:rPr>
                <w:rFonts w:cstheme="minorHAnsi"/>
                <w:b/>
              </w:rPr>
            </w:pPr>
          </w:p>
        </w:tc>
      </w:tr>
      <w:tr w:rsidR="00A901CD" w:rsidRPr="00BA06F2" w:rsidTr="00282352">
        <w:tc>
          <w:tcPr>
            <w:tcW w:w="9018" w:type="dxa"/>
          </w:tcPr>
          <w:p w:rsidR="00A901CD" w:rsidRPr="00BA06F2" w:rsidRDefault="00A901CD" w:rsidP="00FF0CF5">
            <w:pPr>
              <w:jc w:val="both"/>
              <w:rPr>
                <w:rFonts w:cstheme="minorHAnsi"/>
                <w:b/>
              </w:rPr>
            </w:pPr>
            <w:r w:rsidRPr="00BA06F2">
              <w:rPr>
                <w:rFonts w:cstheme="minorHAnsi"/>
                <w:b/>
              </w:rPr>
              <w:t>DJJ PREA Certification Methodologies</w:t>
            </w:r>
          </w:p>
          <w:p w:rsidR="00A901CD" w:rsidRPr="00BA06F2" w:rsidRDefault="00A901CD" w:rsidP="00FF0CF5">
            <w:pPr>
              <w:jc w:val="both"/>
              <w:rPr>
                <w:rFonts w:cstheme="minorHAnsi"/>
                <w:b/>
                <w:sz w:val="16"/>
                <w:szCs w:val="16"/>
              </w:rPr>
            </w:pPr>
          </w:p>
          <w:p w:rsidR="00A901CD" w:rsidRPr="00BA06F2" w:rsidRDefault="00A901CD" w:rsidP="00A901CD">
            <w:pPr>
              <w:pStyle w:val="ListParagraph"/>
              <w:numPr>
                <w:ilvl w:val="0"/>
                <w:numId w:val="25"/>
              </w:numPr>
              <w:jc w:val="both"/>
              <w:rPr>
                <w:rFonts w:cstheme="minorHAnsi"/>
                <w:sz w:val="16"/>
                <w:szCs w:val="16"/>
              </w:rPr>
            </w:pPr>
            <w:r w:rsidRPr="00BA06F2">
              <w:rPr>
                <w:rFonts w:cstheme="minorHAnsi"/>
              </w:rPr>
              <w:t>Certified Department of Justice Audits</w:t>
            </w:r>
          </w:p>
          <w:p w:rsidR="00B5058A" w:rsidRPr="00BA06F2" w:rsidRDefault="00B5058A" w:rsidP="00B5058A">
            <w:pPr>
              <w:pStyle w:val="ListParagraph"/>
              <w:jc w:val="both"/>
              <w:rPr>
                <w:rFonts w:cstheme="minorHAnsi"/>
                <w:sz w:val="16"/>
                <w:szCs w:val="16"/>
              </w:rPr>
            </w:pPr>
          </w:p>
          <w:p w:rsidR="00A901CD" w:rsidRPr="00BA06F2" w:rsidRDefault="00A901CD" w:rsidP="00A901CD">
            <w:pPr>
              <w:pStyle w:val="ListParagraph"/>
              <w:numPr>
                <w:ilvl w:val="0"/>
                <w:numId w:val="25"/>
              </w:numPr>
              <w:jc w:val="both"/>
              <w:rPr>
                <w:rFonts w:cstheme="minorHAnsi"/>
                <w:sz w:val="16"/>
                <w:szCs w:val="16"/>
              </w:rPr>
            </w:pPr>
            <w:r w:rsidRPr="00BA06F2">
              <w:rPr>
                <w:rFonts w:cstheme="minorHAnsi"/>
              </w:rPr>
              <w:t>2014 DOJ Certified Audit Schedule</w:t>
            </w:r>
          </w:p>
          <w:p w:rsidR="00B5058A" w:rsidRPr="00BA06F2" w:rsidRDefault="00B5058A" w:rsidP="00B5058A">
            <w:pPr>
              <w:pStyle w:val="ListParagraph"/>
              <w:rPr>
                <w:rFonts w:cstheme="minorHAnsi"/>
                <w:sz w:val="16"/>
                <w:szCs w:val="16"/>
              </w:rPr>
            </w:pPr>
          </w:p>
          <w:p w:rsidR="00A901CD" w:rsidRPr="00BA06F2" w:rsidRDefault="00A901CD" w:rsidP="00A901CD">
            <w:pPr>
              <w:pStyle w:val="ListParagraph"/>
              <w:numPr>
                <w:ilvl w:val="0"/>
                <w:numId w:val="25"/>
              </w:numPr>
              <w:jc w:val="both"/>
              <w:rPr>
                <w:rFonts w:cstheme="minorHAnsi"/>
                <w:sz w:val="16"/>
                <w:szCs w:val="16"/>
              </w:rPr>
            </w:pPr>
            <w:r w:rsidRPr="00BA06F2">
              <w:rPr>
                <w:rFonts w:cstheme="minorHAnsi"/>
              </w:rPr>
              <w:t>Gap Analysis</w:t>
            </w:r>
          </w:p>
          <w:p w:rsidR="00B5058A" w:rsidRPr="00BA06F2" w:rsidRDefault="00B5058A" w:rsidP="00B5058A">
            <w:pPr>
              <w:pStyle w:val="ListParagraph"/>
              <w:rPr>
                <w:rFonts w:cstheme="minorHAnsi"/>
                <w:sz w:val="16"/>
                <w:szCs w:val="16"/>
              </w:rPr>
            </w:pPr>
          </w:p>
          <w:p w:rsidR="00A901CD" w:rsidRPr="00BA06F2" w:rsidRDefault="00A901CD" w:rsidP="00A901CD">
            <w:pPr>
              <w:pStyle w:val="ListParagraph"/>
              <w:numPr>
                <w:ilvl w:val="0"/>
                <w:numId w:val="25"/>
              </w:numPr>
              <w:jc w:val="both"/>
              <w:rPr>
                <w:rFonts w:cstheme="minorHAnsi"/>
              </w:rPr>
            </w:pPr>
            <w:r w:rsidRPr="00BA06F2">
              <w:rPr>
                <w:rFonts w:cstheme="minorHAnsi"/>
              </w:rPr>
              <w:t>Findings</w:t>
            </w:r>
          </w:p>
          <w:p w:rsidR="00A901CD" w:rsidRPr="00BA06F2" w:rsidRDefault="00A901CD" w:rsidP="00A901CD">
            <w:pPr>
              <w:pStyle w:val="ListParagraph"/>
              <w:jc w:val="both"/>
              <w:rPr>
                <w:rFonts w:cstheme="minorHAnsi"/>
                <w:b/>
                <w:sz w:val="16"/>
                <w:szCs w:val="16"/>
              </w:rPr>
            </w:pPr>
          </w:p>
        </w:tc>
        <w:tc>
          <w:tcPr>
            <w:tcW w:w="846" w:type="dxa"/>
          </w:tcPr>
          <w:p w:rsidR="00A901CD" w:rsidRPr="00BA06F2" w:rsidRDefault="00282352" w:rsidP="0035043C">
            <w:pPr>
              <w:jc w:val="right"/>
              <w:rPr>
                <w:rFonts w:cstheme="minorHAnsi"/>
                <w:b/>
              </w:rPr>
            </w:pPr>
            <w:r w:rsidRPr="00BA06F2">
              <w:rPr>
                <w:rFonts w:cstheme="minorHAnsi"/>
                <w:b/>
              </w:rPr>
              <w:t>5-</w:t>
            </w:r>
            <w:r w:rsidR="0035043C">
              <w:rPr>
                <w:rFonts w:cstheme="minorHAnsi"/>
                <w:b/>
              </w:rPr>
              <w:t>6</w:t>
            </w:r>
          </w:p>
        </w:tc>
      </w:tr>
      <w:tr w:rsidR="00B5058A" w:rsidRPr="00BA06F2" w:rsidTr="00282352">
        <w:tc>
          <w:tcPr>
            <w:tcW w:w="9018" w:type="dxa"/>
          </w:tcPr>
          <w:p w:rsidR="00B5058A" w:rsidRPr="00BA06F2" w:rsidRDefault="00372D28" w:rsidP="00372D28">
            <w:pPr>
              <w:jc w:val="both"/>
              <w:rPr>
                <w:rFonts w:cstheme="minorHAnsi"/>
                <w:b/>
              </w:rPr>
            </w:pPr>
            <w:r>
              <w:rPr>
                <w:rFonts w:cstheme="minorHAnsi"/>
                <w:b/>
              </w:rPr>
              <w:t>2013 Annual PREA COMPSTAT Reported Allegations</w:t>
            </w:r>
          </w:p>
        </w:tc>
        <w:tc>
          <w:tcPr>
            <w:tcW w:w="846" w:type="dxa"/>
          </w:tcPr>
          <w:p w:rsidR="00B5058A" w:rsidRPr="00BA06F2" w:rsidRDefault="00282352" w:rsidP="0035043C">
            <w:pPr>
              <w:jc w:val="right"/>
              <w:rPr>
                <w:rFonts w:cstheme="minorHAnsi"/>
                <w:b/>
              </w:rPr>
            </w:pPr>
            <w:r w:rsidRPr="00BA06F2">
              <w:rPr>
                <w:rFonts w:cstheme="minorHAnsi"/>
                <w:b/>
              </w:rPr>
              <w:t>7</w:t>
            </w:r>
          </w:p>
        </w:tc>
      </w:tr>
      <w:tr w:rsidR="00282352" w:rsidRPr="00BA06F2" w:rsidTr="00282352">
        <w:tc>
          <w:tcPr>
            <w:tcW w:w="9018" w:type="dxa"/>
          </w:tcPr>
          <w:p w:rsidR="00282352" w:rsidRPr="00BA06F2" w:rsidRDefault="00282352" w:rsidP="00B5058A">
            <w:pPr>
              <w:jc w:val="both"/>
              <w:rPr>
                <w:rFonts w:cstheme="minorHAnsi"/>
                <w:b/>
              </w:rPr>
            </w:pPr>
          </w:p>
          <w:p w:rsidR="00282352" w:rsidRPr="00BA06F2" w:rsidRDefault="00282352" w:rsidP="00B5058A">
            <w:pPr>
              <w:jc w:val="both"/>
              <w:rPr>
                <w:rFonts w:cstheme="minorHAnsi"/>
                <w:b/>
              </w:rPr>
            </w:pPr>
            <w:r w:rsidRPr="00BA06F2">
              <w:rPr>
                <w:rFonts w:cstheme="minorHAnsi"/>
                <w:b/>
              </w:rPr>
              <w:t>Identified PREA Issues of Concern (Agency-Wide)</w:t>
            </w:r>
          </w:p>
        </w:tc>
        <w:tc>
          <w:tcPr>
            <w:tcW w:w="846" w:type="dxa"/>
          </w:tcPr>
          <w:p w:rsidR="00282352" w:rsidRPr="00BA06F2" w:rsidRDefault="00282352" w:rsidP="00282352">
            <w:pPr>
              <w:jc w:val="right"/>
              <w:rPr>
                <w:rFonts w:cstheme="minorHAnsi"/>
                <w:b/>
              </w:rPr>
            </w:pPr>
          </w:p>
          <w:p w:rsidR="00282352" w:rsidRPr="00BA06F2" w:rsidRDefault="0035043C" w:rsidP="00282352">
            <w:pPr>
              <w:jc w:val="right"/>
              <w:rPr>
                <w:rFonts w:cstheme="minorHAnsi"/>
                <w:b/>
              </w:rPr>
            </w:pPr>
            <w:r>
              <w:rPr>
                <w:rFonts w:cstheme="minorHAnsi"/>
                <w:b/>
              </w:rPr>
              <w:t>8-9</w:t>
            </w:r>
          </w:p>
        </w:tc>
      </w:tr>
      <w:tr w:rsidR="00282352" w:rsidRPr="00BA06F2" w:rsidTr="00282352">
        <w:tc>
          <w:tcPr>
            <w:tcW w:w="9018" w:type="dxa"/>
          </w:tcPr>
          <w:p w:rsidR="00282352" w:rsidRPr="00BA06F2" w:rsidRDefault="00282352" w:rsidP="00B5058A">
            <w:pPr>
              <w:jc w:val="both"/>
              <w:rPr>
                <w:rFonts w:cstheme="minorHAnsi"/>
                <w:b/>
              </w:rPr>
            </w:pPr>
          </w:p>
          <w:p w:rsidR="00282352" w:rsidRPr="00BA06F2" w:rsidRDefault="00282352" w:rsidP="00282352">
            <w:pPr>
              <w:jc w:val="both"/>
              <w:rPr>
                <w:rFonts w:cstheme="minorHAnsi"/>
                <w:b/>
              </w:rPr>
            </w:pPr>
            <w:r w:rsidRPr="00BA06F2">
              <w:rPr>
                <w:rFonts w:cstheme="minorHAnsi"/>
                <w:b/>
              </w:rPr>
              <w:t>Comparison Information</w:t>
            </w:r>
          </w:p>
        </w:tc>
        <w:tc>
          <w:tcPr>
            <w:tcW w:w="846" w:type="dxa"/>
          </w:tcPr>
          <w:p w:rsidR="00282352" w:rsidRPr="00BA06F2" w:rsidRDefault="00282352" w:rsidP="00282352">
            <w:pPr>
              <w:jc w:val="right"/>
              <w:rPr>
                <w:rFonts w:cstheme="minorHAnsi"/>
                <w:b/>
              </w:rPr>
            </w:pPr>
          </w:p>
          <w:p w:rsidR="00282352" w:rsidRPr="00BA06F2" w:rsidRDefault="0035043C" w:rsidP="00282352">
            <w:pPr>
              <w:jc w:val="right"/>
              <w:rPr>
                <w:rFonts w:cstheme="minorHAnsi"/>
                <w:b/>
              </w:rPr>
            </w:pPr>
            <w:r>
              <w:rPr>
                <w:rFonts w:cstheme="minorHAnsi"/>
                <w:b/>
              </w:rPr>
              <w:t>9</w:t>
            </w:r>
          </w:p>
        </w:tc>
      </w:tr>
      <w:tr w:rsidR="00282352" w:rsidRPr="00BA06F2" w:rsidTr="00282352">
        <w:tc>
          <w:tcPr>
            <w:tcW w:w="9018" w:type="dxa"/>
          </w:tcPr>
          <w:p w:rsidR="00282352" w:rsidRPr="00BA06F2" w:rsidRDefault="00282352" w:rsidP="00B5058A">
            <w:pPr>
              <w:jc w:val="both"/>
              <w:rPr>
                <w:rFonts w:cstheme="minorHAnsi"/>
                <w:b/>
              </w:rPr>
            </w:pPr>
          </w:p>
          <w:p w:rsidR="00282352" w:rsidRPr="00BA06F2" w:rsidRDefault="00282352" w:rsidP="00B5058A">
            <w:pPr>
              <w:jc w:val="both"/>
              <w:rPr>
                <w:rFonts w:cstheme="minorHAnsi"/>
                <w:b/>
              </w:rPr>
            </w:pPr>
            <w:r w:rsidRPr="00BA06F2">
              <w:rPr>
                <w:rFonts w:cstheme="minorHAnsi"/>
                <w:b/>
              </w:rPr>
              <w:t>Conclusion</w:t>
            </w:r>
          </w:p>
        </w:tc>
        <w:tc>
          <w:tcPr>
            <w:tcW w:w="846" w:type="dxa"/>
          </w:tcPr>
          <w:p w:rsidR="00282352" w:rsidRPr="00BA06F2" w:rsidRDefault="00282352" w:rsidP="00282352">
            <w:pPr>
              <w:jc w:val="right"/>
              <w:rPr>
                <w:rFonts w:cstheme="minorHAnsi"/>
                <w:b/>
              </w:rPr>
            </w:pPr>
          </w:p>
          <w:p w:rsidR="00282352" w:rsidRPr="00BA06F2" w:rsidRDefault="0035043C" w:rsidP="00282352">
            <w:pPr>
              <w:jc w:val="right"/>
              <w:rPr>
                <w:rFonts w:cstheme="minorHAnsi"/>
                <w:b/>
              </w:rPr>
            </w:pPr>
            <w:r>
              <w:rPr>
                <w:rFonts w:cstheme="minorHAnsi"/>
                <w:b/>
              </w:rPr>
              <w:t>9</w:t>
            </w:r>
          </w:p>
        </w:tc>
      </w:tr>
    </w:tbl>
    <w:p w:rsidR="000D1138" w:rsidRPr="00BA06F2" w:rsidRDefault="000F79AB" w:rsidP="00FF0CF5">
      <w:pPr>
        <w:spacing w:after="0" w:line="240" w:lineRule="auto"/>
        <w:jc w:val="both"/>
        <w:rPr>
          <w:rFonts w:cstheme="minorHAnsi"/>
          <w:sz w:val="16"/>
          <w:szCs w:val="16"/>
        </w:rPr>
      </w:pPr>
      <w:r w:rsidRPr="00BA06F2">
        <w:rPr>
          <w:rFonts w:cstheme="minorHAnsi"/>
          <w:sz w:val="16"/>
          <w:szCs w:val="16"/>
        </w:rPr>
        <w:tab/>
      </w:r>
      <w:r w:rsidRPr="00BA06F2">
        <w:rPr>
          <w:rFonts w:cstheme="minorHAnsi"/>
          <w:sz w:val="16"/>
          <w:szCs w:val="16"/>
        </w:rPr>
        <w:tab/>
      </w:r>
      <w:r w:rsidRPr="00BA06F2">
        <w:rPr>
          <w:rFonts w:cstheme="minorHAnsi"/>
          <w:sz w:val="16"/>
          <w:szCs w:val="16"/>
        </w:rPr>
        <w:tab/>
      </w:r>
      <w:r w:rsidRPr="00BA06F2">
        <w:rPr>
          <w:rFonts w:cstheme="minorHAnsi"/>
          <w:sz w:val="16"/>
          <w:szCs w:val="16"/>
        </w:rPr>
        <w:tab/>
      </w:r>
      <w:r w:rsidRPr="00BA06F2">
        <w:rPr>
          <w:rFonts w:cstheme="minorHAnsi"/>
          <w:sz w:val="16"/>
          <w:szCs w:val="16"/>
        </w:rPr>
        <w:tab/>
      </w:r>
      <w:r w:rsidRPr="00BA06F2">
        <w:rPr>
          <w:rFonts w:cstheme="minorHAnsi"/>
          <w:sz w:val="16"/>
          <w:szCs w:val="16"/>
        </w:rPr>
        <w:tab/>
      </w:r>
      <w:r w:rsidRPr="00BA06F2">
        <w:rPr>
          <w:rFonts w:cstheme="minorHAnsi"/>
          <w:sz w:val="16"/>
          <w:szCs w:val="16"/>
        </w:rPr>
        <w:tab/>
      </w:r>
      <w:r w:rsidRPr="00BA06F2">
        <w:rPr>
          <w:rFonts w:cstheme="minorHAnsi"/>
          <w:sz w:val="16"/>
          <w:szCs w:val="16"/>
        </w:rPr>
        <w:tab/>
      </w:r>
      <w:r w:rsidRPr="00BA06F2">
        <w:rPr>
          <w:rFonts w:cstheme="minorHAnsi"/>
          <w:sz w:val="16"/>
          <w:szCs w:val="16"/>
        </w:rPr>
        <w:tab/>
      </w:r>
      <w:r w:rsidRPr="00BA06F2">
        <w:rPr>
          <w:rFonts w:cstheme="minorHAnsi"/>
          <w:sz w:val="16"/>
          <w:szCs w:val="16"/>
        </w:rPr>
        <w:tab/>
      </w:r>
    </w:p>
    <w:p w:rsidR="000D1138" w:rsidRPr="00BA06F2" w:rsidRDefault="000D1138" w:rsidP="00FF0CF5">
      <w:pPr>
        <w:spacing w:after="0" w:line="240" w:lineRule="auto"/>
        <w:jc w:val="both"/>
        <w:rPr>
          <w:rFonts w:cstheme="minorHAnsi"/>
        </w:rPr>
      </w:pPr>
    </w:p>
    <w:p w:rsidR="000F79AB" w:rsidRPr="00BA06F2" w:rsidRDefault="000F79AB" w:rsidP="00FF0CF5">
      <w:pPr>
        <w:spacing w:after="0" w:line="240" w:lineRule="auto"/>
        <w:jc w:val="both"/>
        <w:rPr>
          <w:rFonts w:cstheme="minorHAnsi"/>
        </w:rPr>
      </w:pPr>
    </w:p>
    <w:p w:rsidR="00D36F8C" w:rsidRPr="00BA06F2" w:rsidRDefault="00D36F8C" w:rsidP="000D1138">
      <w:pPr>
        <w:spacing w:after="0" w:line="240" w:lineRule="auto"/>
        <w:jc w:val="center"/>
        <w:rPr>
          <w:rFonts w:ascii="Arial Black" w:hAnsi="Arial Black" w:cstheme="minorHAnsi"/>
          <w:sz w:val="24"/>
          <w:szCs w:val="24"/>
        </w:rPr>
      </w:pPr>
    </w:p>
    <w:p w:rsidR="00B5058A" w:rsidRPr="00BA06F2" w:rsidRDefault="00B5058A" w:rsidP="000D1138">
      <w:pPr>
        <w:spacing w:after="0" w:line="240" w:lineRule="auto"/>
        <w:jc w:val="center"/>
        <w:rPr>
          <w:rFonts w:ascii="Arial Black" w:hAnsi="Arial Black" w:cstheme="minorHAnsi"/>
          <w:sz w:val="24"/>
          <w:szCs w:val="24"/>
        </w:rPr>
      </w:pPr>
    </w:p>
    <w:p w:rsidR="00B5058A" w:rsidRPr="00BA06F2" w:rsidRDefault="00B5058A" w:rsidP="000D1138">
      <w:pPr>
        <w:spacing w:after="0" w:line="240" w:lineRule="auto"/>
        <w:jc w:val="center"/>
        <w:rPr>
          <w:rFonts w:ascii="Arial Black" w:hAnsi="Arial Black" w:cstheme="minorHAnsi"/>
          <w:sz w:val="24"/>
          <w:szCs w:val="24"/>
        </w:rPr>
      </w:pPr>
    </w:p>
    <w:p w:rsidR="001128FE" w:rsidRPr="00BA06F2" w:rsidRDefault="001128FE" w:rsidP="000D1138">
      <w:pPr>
        <w:spacing w:after="0" w:line="240" w:lineRule="auto"/>
        <w:jc w:val="center"/>
        <w:rPr>
          <w:rFonts w:ascii="Arial Black" w:hAnsi="Arial Black" w:cstheme="minorHAnsi"/>
          <w:sz w:val="24"/>
          <w:szCs w:val="24"/>
        </w:rPr>
      </w:pPr>
    </w:p>
    <w:p w:rsidR="00282352" w:rsidRPr="00BA06F2" w:rsidRDefault="00282352" w:rsidP="000D1138">
      <w:pPr>
        <w:spacing w:after="0" w:line="240" w:lineRule="auto"/>
        <w:jc w:val="center"/>
        <w:rPr>
          <w:rFonts w:ascii="Arial Black" w:hAnsi="Arial Black" w:cstheme="minorHAnsi"/>
          <w:sz w:val="24"/>
          <w:szCs w:val="24"/>
        </w:rPr>
      </w:pPr>
    </w:p>
    <w:p w:rsidR="000D1138" w:rsidRPr="00BA06F2" w:rsidRDefault="000D1138" w:rsidP="000D1138">
      <w:pPr>
        <w:spacing w:after="0" w:line="240" w:lineRule="auto"/>
        <w:jc w:val="center"/>
        <w:rPr>
          <w:rFonts w:ascii="Arial Black" w:hAnsi="Arial Black" w:cstheme="minorHAnsi"/>
        </w:rPr>
      </w:pPr>
      <w:r w:rsidRPr="00BA06F2">
        <w:rPr>
          <w:rFonts w:ascii="Arial Black" w:hAnsi="Arial Black" w:cstheme="minorHAnsi"/>
        </w:rPr>
        <w:t xml:space="preserve">Prison Rape Elimination Act (PREA)  </w:t>
      </w:r>
    </w:p>
    <w:p w:rsidR="000D1138" w:rsidRPr="00BA06F2" w:rsidRDefault="000D1138" w:rsidP="000D1138">
      <w:pPr>
        <w:spacing w:after="0" w:line="240" w:lineRule="auto"/>
        <w:jc w:val="center"/>
        <w:rPr>
          <w:rFonts w:ascii="Arial Black" w:hAnsi="Arial Black" w:cstheme="minorHAnsi"/>
          <w:sz w:val="16"/>
          <w:szCs w:val="16"/>
        </w:rPr>
      </w:pPr>
    </w:p>
    <w:p w:rsidR="00FF0CF5" w:rsidRPr="00BA06F2" w:rsidRDefault="00334F93" w:rsidP="00FF0CF5">
      <w:pPr>
        <w:spacing w:after="0" w:line="240" w:lineRule="auto"/>
        <w:jc w:val="both"/>
        <w:rPr>
          <w:rFonts w:cstheme="minorHAnsi"/>
        </w:rPr>
      </w:pPr>
      <w:r w:rsidRPr="00BA06F2">
        <w:rPr>
          <w:rFonts w:cstheme="minorHAnsi"/>
        </w:rPr>
        <w:t xml:space="preserve">Unanimously passed by Congress, the Prison Rape Elimination Act (PREA) was signed on September 4, 2003, by President George </w:t>
      </w:r>
      <w:r w:rsidR="00936CB1" w:rsidRPr="00BA06F2">
        <w:rPr>
          <w:rFonts w:cstheme="minorHAnsi"/>
        </w:rPr>
        <w:t>H.</w:t>
      </w:r>
      <w:r w:rsidRPr="00BA06F2">
        <w:rPr>
          <w:rFonts w:cstheme="minorHAnsi"/>
        </w:rPr>
        <w:t>W. Bush and became the first federal</w:t>
      </w:r>
      <w:r w:rsidR="00463D31" w:rsidRPr="00BA06F2">
        <w:rPr>
          <w:rFonts w:cstheme="minorHAnsi"/>
        </w:rPr>
        <w:t xml:space="preserve"> </w:t>
      </w:r>
      <w:r w:rsidRPr="00BA06F2">
        <w:rPr>
          <w:rFonts w:cstheme="minorHAnsi"/>
        </w:rPr>
        <w:t xml:space="preserve">legislation addressing the issue of sexual assault in </w:t>
      </w:r>
      <w:r w:rsidR="00936CB1" w:rsidRPr="00BA06F2">
        <w:rPr>
          <w:rFonts w:cstheme="minorHAnsi"/>
        </w:rPr>
        <w:t xml:space="preserve">a </w:t>
      </w:r>
      <w:r w:rsidRPr="00BA06F2">
        <w:rPr>
          <w:rFonts w:cstheme="minorHAnsi"/>
        </w:rPr>
        <w:t xml:space="preserve">correctional setting. The Act applies to sexual abuse in all custodial corrections settings, including prisons, jails, police lock-ups, juvenile detention facilities, and community residential settings. Moreover, the Act applies to all types of sexual </w:t>
      </w:r>
      <w:r w:rsidR="00463D31" w:rsidRPr="00BA06F2">
        <w:rPr>
          <w:rFonts w:cstheme="minorHAnsi"/>
        </w:rPr>
        <w:t>misconduct</w:t>
      </w:r>
      <w:r w:rsidRPr="00BA06F2">
        <w:rPr>
          <w:rFonts w:cstheme="minorHAnsi"/>
        </w:rPr>
        <w:t xml:space="preserve"> </w:t>
      </w:r>
      <w:r w:rsidR="00463D31" w:rsidRPr="00BA06F2">
        <w:rPr>
          <w:rFonts w:cstheme="minorHAnsi"/>
        </w:rPr>
        <w:t>against</w:t>
      </w:r>
      <w:r w:rsidRPr="00BA06F2">
        <w:rPr>
          <w:rFonts w:cstheme="minorHAnsi"/>
        </w:rPr>
        <w:t xml:space="preserve"> juveniles, including abuse by fellow </w:t>
      </w:r>
      <w:r w:rsidR="00BD08D7" w:rsidRPr="00BA06F2">
        <w:rPr>
          <w:rFonts w:cstheme="minorHAnsi"/>
        </w:rPr>
        <w:t>j</w:t>
      </w:r>
      <w:r w:rsidRPr="00BA06F2">
        <w:rPr>
          <w:rFonts w:cstheme="minorHAnsi"/>
        </w:rPr>
        <w:t>uveniles and staff.</w:t>
      </w:r>
    </w:p>
    <w:p w:rsidR="00BD08D7" w:rsidRPr="00BA06F2" w:rsidRDefault="00BD08D7" w:rsidP="00BD08D7">
      <w:pPr>
        <w:spacing w:after="0" w:line="240" w:lineRule="auto"/>
        <w:jc w:val="center"/>
        <w:rPr>
          <w:rFonts w:ascii="Arial Black" w:hAnsi="Arial Black" w:cstheme="minorHAnsi"/>
        </w:rPr>
      </w:pPr>
      <w:r w:rsidRPr="00BA06F2">
        <w:rPr>
          <w:rFonts w:ascii="Arial Black" w:hAnsi="Arial Black" w:cstheme="minorHAnsi"/>
        </w:rPr>
        <w:t>Department of Juvenile Justice</w:t>
      </w:r>
    </w:p>
    <w:p w:rsidR="00BD08D7" w:rsidRPr="00BA06F2" w:rsidRDefault="00BD08D7" w:rsidP="00BD08D7">
      <w:pPr>
        <w:spacing w:after="0" w:line="240" w:lineRule="auto"/>
        <w:jc w:val="center"/>
        <w:rPr>
          <w:rFonts w:cstheme="minorHAnsi"/>
          <w:sz w:val="16"/>
          <w:szCs w:val="16"/>
        </w:rPr>
      </w:pPr>
    </w:p>
    <w:p w:rsidR="00F20EF9" w:rsidRPr="00BA06F2" w:rsidRDefault="002E7072" w:rsidP="00FF0CF5">
      <w:pPr>
        <w:spacing w:after="0" w:line="240" w:lineRule="auto"/>
        <w:jc w:val="both"/>
        <w:rPr>
          <w:rFonts w:cstheme="minorHAnsi"/>
        </w:rPr>
      </w:pPr>
      <w:r w:rsidRPr="00BA06F2">
        <w:rPr>
          <w:rFonts w:cstheme="minorHAnsi"/>
        </w:rPr>
        <w:t xml:space="preserve">The </w:t>
      </w:r>
      <w:r w:rsidR="00F20EF9" w:rsidRPr="00BA06F2">
        <w:rPr>
          <w:rFonts w:cstheme="minorHAnsi"/>
        </w:rPr>
        <w:t>Georgia Department of Juvenile Justice</w:t>
      </w:r>
      <w:r w:rsidRPr="00BA06F2">
        <w:rPr>
          <w:rFonts w:cstheme="minorHAnsi"/>
        </w:rPr>
        <w:t xml:space="preserve"> (DJJ)</w:t>
      </w:r>
      <w:r w:rsidR="00F20EF9" w:rsidRPr="00BA06F2">
        <w:rPr>
          <w:rFonts w:cstheme="minorHAnsi"/>
        </w:rPr>
        <w:t xml:space="preserve"> provides secure housing, programming, mental health services, health care services, and education for juveniles who are on probation, awaiting adjudication, or have been </w:t>
      </w:r>
      <w:r w:rsidRPr="00BA06F2">
        <w:rPr>
          <w:rFonts w:cstheme="minorHAnsi"/>
        </w:rPr>
        <w:t>adjudicated and committed to the GA Department of Juvenile Justice</w:t>
      </w:r>
      <w:r w:rsidR="00F20EF9" w:rsidRPr="00BA06F2">
        <w:rPr>
          <w:rFonts w:cstheme="minorHAnsi"/>
        </w:rPr>
        <w:t xml:space="preserve">. </w:t>
      </w:r>
    </w:p>
    <w:p w:rsidR="00F95653" w:rsidRPr="00BA06F2" w:rsidRDefault="00F95653" w:rsidP="00FF0CF5">
      <w:pPr>
        <w:spacing w:after="0" w:line="240" w:lineRule="auto"/>
        <w:jc w:val="both"/>
        <w:rPr>
          <w:rFonts w:cstheme="minorHAnsi"/>
          <w:sz w:val="16"/>
          <w:szCs w:val="16"/>
        </w:rPr>
      </w:pPr>
    </w:p>
    <w:p w:rsidR="00F95653" w:rsidRPr="00BA06F2" w:rsidRDefault="00F95653" w:rsidP="00FF0CF5">
      <w:pPr>
        <w:spacing w:after="0" w:line="240" w:lineRule="auto"/>
        <w:jc w:val="both"/>
        <w:rPr>
          <w:rFonts w:cstheme="minorHAnsi"/>
        </w:rPr>
      </w:pPr>
      <w:r w:rsidRPr="00BA06F2">
        <w:rPr>
          <w:rFonts w:cstheme="minorHAnsi"/>
        </w:rPr>
        <w:t>The Georgia Department of Juvenile Justice review</w:t>
      </w:r>
      <w:r w:rsidR="00936CB1" w:rsidRPr="00BA06F2">
        <w:rPr>
          <w:rFonts w:cstheme="minorHAnsi"/>
        </w:rPr>
        <w:t>s</w:t>
      </w:r>
      <w:r w:rsidRPr="00BA06F2">
        <w:rPr>
          <w:rFonts w:cstheme="minorHAnsi"/>
        </w:rPr>
        <w:t xml:space="preserve"> data collected and aggregated pursuant to PREA standard 115.387 in order to assess and improve the effectiveness of the agency’s sexual abuse prevention, detection, and response policies, practices, and training to include identifying problem areas;</w:t>
      </w:r>
      <w:r w:rsidR="00D36F8C" w:rsidRPr="00BA06F2">
        <w:rPr>
          <w:rFonts w:cstheme="minorHAnsi"/>
        </w:rPr>
        <w:t xml:space="preserve"> and </w:t>
      </w:r>
      <w:r w:rsidRPr="00BA06F2">
        <w:rPr>
          <w:rFonts w:cstheme="minorHAnsi"/>
        </w:rPr>
        <w:t xml:space="preserve">taking corrective action on an ongoing basis. </w:t>
      </w:r>
    </w:p>
    <w:p w:rsidR="00F95653" w:rsidRPr="00BA06F2" w:rsidRDefault="00F95653" w:rsidP="00FF0CF5">
      <w:pPr>
        <w:spacing w:after="0" w:line="240" w:lineRule="auto"/>
        <w:jc w:val="both"/>
        <w:rPr>
          <w:rFonts w:cstheme="minorHAnsi"/>
          <w:sz w:val="16"/>
          <w:szCs w:val="16"/>
        </w:rPr>
      </w:pPr>
    </w:p>
    <w:p w:rsidR="00F95653" w:rsidRPr="00BA06F2" w:rsidRDefault="000F2059" w:rsidP="00FF0CF5">
      <w:pPr>
        <w:spacing w:after="0" w:line="240" w:lineRule="auto"/>
        <w:jc w:val="both"/>
        <w:rPr>
          <w:rFonts w:cstheme="minorHAnsi"/>
        </w:rPr>
      </w:pPr>
      <w:r w:rsidRPr="00BA06F2">
        <w:rPr>
          <w:rFonts w:cstheme="minorHAnsi"/>
        </w:rPr>
        <w:t>The y</w:t>
      </w:r>
      <w:r w:rsidR="00F95653" w:rsidRPr="00BA06F2">
        <w:rPr>
          <w:rFonts w:cstheme="minorHAnsi"/>
        </w:rPr>
        <w:t xml:space="preserve">early comparison report </w:t>
      </w:r>
      <w:r w:rsidR="00BD08D7" w:rsidRPr="00BA06F2">
        <w:rPr>
          <w:rFonts w:cstheme="minorHAnsi"/>
        </w:rPr>
        <w:t xml:space="preserve">began with FY2013. Specific information from this report is redacted to prevent </w:t>
      </w:r>
      <w:r w:rsidRPr="00BA06F2">
        <w:rPr>
          <w:rFonts w:cstheme="minorHAnsi"/>
        </w:rPr>
        <w:t xml:space="preserve">any </w:t>
      </w:r>
      <w:r w:rsidR="00BD08D7" w:rsidRPr="00BA06F2">
        <w:rPr>
          <w:rFonts w:cstheme="minorHAnsi"/>
        </w:rPr>
        <w:t>threat to the safety and security of secure facilities, community residential programs, court service offices, staff and youth. The PREA Annual Report redacted information concerning staff and youth personal identifiers.</w:t>
      </w:r>
    </w:p>
    <w:p w:rsidR="00DB7272" w:rsidRPr="00BA06F2" w:rsidRDefault="00DB7272" w:rsidP="00DB7272">
      <w:pPr>
        <w:spacing w:after="0" w:line="240" w:lineRule="auto"/>
        <w:jc w:val="center"/>
        <w:rPr>
          <w:rFonts w:ascii="Arial Black" w:hAnsi="Arial Black" w:cstheme="minorHAnsi"/>
        </w:rPr>
      </w:pPr>
      <w:r w:rsidRPr="00BA06F2">
        <w:rPr>
          <w:rFonts w:ascii="Arial Black" w:hAnsi="Arial Black" w:cstheme="minorHAnsi"/>
        </w:rPr>
        <w:t>PREA Accomplishments</w:t>
      </w:r>
    </w:p>
    <w:p w:rsidR="00DB7272" w:rsidRPr="00BA06F2" w:rsidRDefault="00DB7272" w:rsidP="00FF0CF5">
      <w:pPr>
        <w:spacing w:after="0" w:line="240" w:lineRule="auto"/>
        <w:jc w:val="both"/>
        <w:rPr>
          <w:rFonts w:cstheme="minorHAnsi"/>
          <w:sz w:val="16"/>
          <w:szCs w:val="16"/>
        </w:rPr>
      </w:pPr>
    </w:p>
    <w:p w:rsidR="00F20EF9" w:rsidRPr="00BA06F2" w:rsidRDefault="008603D0" w:rsidP="00FF0CF5">
      <w:pPr>
        <w:spacing w:after="0" w:line="240" w:lineRule="auto"/>
        <w:jc w:val="both"/>
        <w:rPr>
          <w:rFonts w:cstheme="minorHAnsi"/>
        </w:rPr>
      </w:pPr>
      <w:r w:rsidRPr="00BA06F2">
        <w:rPr>
          <w:rFonts w:cstheme="minorHAnsi"/>
        </w:rPr>
        <w:t>The agency</w:t>
      </w:r>
      <w:r w:rsidR="00F20EF9" w:rsidRPr="00BA06F2">
        <w:rPr>
          <w:rFonts w:cstheme="minorHAnsi"/>
        </w:rPr>
        <w:t xml:space="preserve"> </w:t>
      </w:r>
      <w:r w:rsidR="00297E1A" w:rsidRPr="00BA06F2">
        <w:rPr>
          <w:rFonts w:cstheme="minorHAnsi"/>
        </w:rPr>
        <w:t xml:space="preserve">has </w:t>
      </w:r>
      <w:r w:rsidR="00BA713D" w:rsidRPr="00BA06F2">
        <w:rPr>
          <w:rFonts w:cstheme="minorHAnsi"/>
        </w:rPr>
        <w:t xml:space="preserve">greatly </w:t>
      </w:r>
      <w:r w:rsidR="00F20EF9" w:rsidRPr="00BA06F2">
        <w:rPr>
          <w:rFonts w:cstheme="minorHAnsi"/>
        </w:rPr>
        <w:t>enhance</w:t>
      </w:r>
      <w:r w:rsidR="00297E1A" w:rsidRPr="00BA06F2">
        <w:rPr>
          <w:rFonts w:cstheme="minorHAnsi"/>
        </w:rPr>
        <w:t>d</w:t>
      </w:r>
      <w:r w:rsidR="000F2059" w:rsidRPr="00BA06F2">
        <w:rPr>
          <w:rFonts w:cstheme="minorHAnsi"/>
        </w:rPr>
        <w:t xml:space="preserve"> </w:t>
      </w:r>
      <w:r w:rsidR="00F20EF9" w:rsidRPr="00BA06F2">
        <w:rPr>
          <w:rFonts w:cstheme="minorHAnsi"/>
        </w:rPr>
        <w:t xml:space="preserve">services </w:t>
      </w:r>
      <w:r w:rsidR="00F6273D" w:rsidRPr="00BA06F2">
        <w:rPr>
          <w:rFonts w:cstheme="minorHAnsi"/>
        </w:rPr>
        <w:t xml:space="preserve">that DJJ </w:t>
      </w:r>
      <w:r w:rsidR="00F20EF9" w:rsidRPr="00BA06F2">
        <w:rPr>
          <w:rFonts w:cstheme="minorHAnsi"/>
        </w:rPr>
        <w:t>provide</w:t>
      </w:r>
      <w:r w:rsidR="00F6273D" w:rsidRPr="00BA06F2">
        <w:rPr>
          <w:rFonts w:cstheme="minorHAnsi"/>
        </w:rPr>
        <w:t>s</w:t>
      </w:r>
      <w:r w:rsidR="00F20EF9" w:rsidRPr="00BA06F2">
        <w:rPr>
          <w:rFonts w:cstheme="minorHAnsi"/>
        </w:rPr>
        <w:t xml:space="preserve"> to youth and </w:t>
      </w:r>
      <w:r w:rsidR="000012BC" w:rsidRPr="00BA06F2">
        <w:rPr>
          <w:rFonts w:cstheme="minorHAnsi"/>
        </w:rPr>
        <w:t xml:space="preserve">restructured </w:t>
      </w:r>
      <w:r w:rsidR="00297E1A" w:rsidRPr="00BA06F2">
        <w:rPr>
          <w:rFonts w:cstheme="minorHAnsi"/>
        </w:rPr>
        <w:t xml:space="preserve">policies and procedures </w:t>
      </w:r>
      <w:r w:rsidR="00F20EF9" w:rsidRPr="00BA06F2">
        <w:rPr>
          <w:rFonts w:cstheme="minorHAnsi"/>
        </w:rPr>
        <w:t xml:space="preserve">to reduce incidents of </w:t>
      </w:r>
      <w:r w:rsidRPr="00BA06F2">
        <w:rPr>
          <w:rFonts w:cstheme="minorHAnsi"/>
        </w:rPr>
        <w:t xml:space="preserve">sexual </w:t>
      </w:r>
      <w:r w:rsidR="00F20EF9" w:rsidRPr="00BA06F2">
        <w:rPr>
          <w:rFonts w:cstheme="minorHAnsi"/>
        </w:rPr>
        <w:t>violence or sexual victimization</w:t>
      </w:r>
      <w:r w:rsidR="00297E1A" w:rsidRPr="00BA06F2">
        <w:rPr>
          <w:rFonts w:cstheme="minorHAnsi"/>
        </w:rPr>
        <w:t xml:space="preserve">. Many of these upgrades </w:t>
      </w:r>
      <w:r w:rsidR="000813ED" w:rsidRPr="00BA06F2">
        <w:rPr>
          <w:rFonts w:cstheme="minorHAnsi"/>
        </w:rPr>
        <w:t>w</w:t>
      </w:r>
      <w:r w:rsidR="00406423" w:rsidRPr="00BA06F2">
        <w:rPr>
          <w:rFonts w:cstheme="minorHAnsi"/>
        </w:rPr>
        <w:t>ere</w:t>
      </w:r>
      <w:r w:rsidR="000813ED" w:rsidRPr="00BA06F2">
        <w:rPr>
          <w:rFonts w:cstheme="minorHAnsi"/>
        </w:rPr>
        <w:t xml:space="preserve"> already underway</w:t>
      </w:r>
      <w:r w:rsidR="00297E1A" w:rsidRPr="00BA06F2">
        <w:rPr>
          <w:rFonts w:cstheme="minorHAnsi"/>
        </w:rPr>
        <w:t>,</w:t>
      </w:r>
      <w:r w:rsidR="00BA713D" w:rsidRPr="00BA06F2">
        <w:rPr>
          <w:rFonts w:cstheme="minorHAnsi"/>
        </w:rPr>
        <w:t xml:space="preserve"> most notably beginning in July </w:t>
      </w:r>
      <w:r w:rsidR="003266EC" w:rsidRPr="00BA06F2">
        <w:rPr>
          <w:rFonts w:cstheme="minorHAnsi"/>
        </w:rPr>
        <w:t xml:space="preserve">2011 when </w:t>
      </w:r>
      <w:r w:rsidR="00297E1A" w:rsidRPr="00BA06F2">
        <w:rPr>
          <w:rFonts w:cstheme="minorHAnsi"/>
        </w:rPr>
        <w:t xml:space="preserve">GA </w:t>
      </w:r>
      <w:r w:rsidR="003266EC" w:rsidRPr="00BA06F2">
        <w:rPr>
          <w:rFonts w:cstheme="minorHAnsi"/>
        </w:rPr>
        <w:t xml:space="preserve">DJJ </w:t>
      </w:r>
      <w:r w:rsidR="00BA713D" w:rsidRPr="00BA06F2">
        <w:rPr>
          <w:rFonts w:cstheme="minorHAnsi"/>
        </w:rPr>
        <w:t xml:space="preserve">applied for the PREA “Zero Tolerance” grant, which </w:t>
      </w:r>
      <w:r w:rsidR="00297E1A" w:rsidRPr="00BA06F2">
        <w:rPr>
          <w:rFonts w:cstheme="minorHAnsi"/>
        </w:rPr>
        <w:t>DJJ was</w:t>
      </w:r>
      <w:r w:rsidR="00BA713D" w:rsidRPr="00BA06F2">
        <w:rPr>
          <w:rFonts w:cstheme="minorHAnsi"/>
        </w:rPr>
        <w:t xml:space="preserve"> awarded</w:t>
      </w:r>
      <w:r w:rsidR="00F20EF9" w:rsidRPr="00BA06F2">
        <w:rPr>
          <w:rFonts w:cstheme="minorHAnsi"/>
        </w:rPr>
        <w:t xml:space="preserve">. Some of the more significant </w:t>
      </w:r>
      <w:r w:rsidR="0066738B" w:rsidRPr="00BA06F2">
        <w:rPr>
          <w:rFonts w:cstheme="minorHAnsi"/>
        </w:rPr>
        <w:t>work</w:t>
      </w:r>
      <w:r w:rsidR="00F20EF9" w:rsidRPr="00BA06F2">
        <w:rPr>
          <w:rFonts w:cstheme="minorHAnsi"/>
        </w:rPr>
        <w:t xml:space="preserve"> </w:t>
      </w:r>
      <w:r w:rsidR="0066738B" w:rsidRPr="00BA06F2">
        <w:rPr>
          <w:rFonts w:cstheme="minorHAnsi"/>
        </w:rPr>
        <w:t>includes</w:t>
      </w:r>
      <w:r w:rsidR="00F20EF9" w:rsidRPr="00BA06F2">
        <w:rPr>
          <w:rFonts w:cstheme="minorHAnsi"/>
        </w:rPr>
        <w:t xml:space="preserve"> the following:</w:t>
      </w:r>
    </w:p>
    <w:p w:rsidR="000A5392" w:rsidRPr="00BA06F2" w:rsidRDefault="000A5392" w:rsidP="001D6693">
      <w:pPr>
        <w:spacing w:after="0" w:line="240" w:lineRule="auto"/>
        <w:jc w:val="both"/>
        <w:rPr>
          <w:rFonts w:cstheme="minorHAnsi"/>
          <w:b/>
          <w:sz w:val="16"/>
          <w:szCs w:val="16"/>
        </w:rPr>
      </w:pPr>
    </w:p>
    <w:p w:rsidR="003266EC" w:rsidRPr="00A90B6B" w:rsidRDefault="00F20EF9" w:rsidP="001D6693">
      <w:pPr>
        <w:spacing w:after="0" w:line="240" w:lineRule="auto"/>
        <w:jc w:val="both"/>
        <w:rPr>
          <w:rFonts w:cstheme="minorHAnsi"/>
          <w:i/>
          <w:u w:val="single"/>
        </w:rPr>
      </w:pPr>
      <w:r w:rsidRPr="00A90B6B">
        <w:rPr>
          <w:rFonts w:cstheme="minorHAnsi"/>
          <w:i/>
          <w:u w:val="single"/>
        </w:rPr>
        <w:t xml:space="preserve">November 2011 thru February 2012, </w:t>
      </w:r>
      <w:r w:rsidR="00BA713D" w:rsidRPr="00A90B6B">
        <w:rPr>
          <w:rFonts w:cstheme="minorHAnsi"/>
          <w:i/>
          <w:u w:val="single"/>
        </w:rPr>
        <w:t xml:space="preserve">DJJ created the Safety and Security Task Force </w:t>
      </w:r>
      <w:r w:rsidR="003266EC" w:rsidRPr="00A90B6B">
        <w:rPr>
          <w:rFonts w:cstheme="minorHAnsi"/>
          <w:i/>
          <w:u w:val="single"/>
        </w:rPr>
        <w:t xml:space="preserve">which made unannounced inspections </w:t>
      </w:r>
      <w:r w:rsidR="000F2059" w:rsidRPr="00A90B6B">
        <w:rPr>
          <w:rFonts w:cstheme="minorHAnsi"/>
          <w:i/>
          <w:u w:val="single"/>
        </w:rPr>
        <w:t>for security issues at</w:t>
      </w:r>
      <w:r w:rsidR="003266EC" w:rsidRPr="00A90B6B">
        <w:rPr>
          <w:rFonts w:cstheme="minorHAnsi"/>
          <w:i/>
          <w:u w:val="single"/>
        </w:rPr>
        <w:t xml:space="preserve"> all 28 </w:t>
      </w:r>
      <w:r w:rsidR="000F2059" w:rsidRPr="00A90B6B">
        <w:rPr>
          <w:rFonts w:cstheme="minorHAnsi"/>
          <w:i/>
          <w:u w:val="single"/>
        </w:rPr>
        <w:t xml:space="preserve">secure </w:t>
      </w:r>
      <w:r w:rsidR="003266EC" w:rsidRPr="00A90B6B">
        <w:rPr>
          <w:rFonts w:cstheme="minorHAnsi"/>
          <w:i/>
          <w:u w:val="single"/>
        </w:rPr>
        <w:t>facilities</w:t>
      </w:r>
      <w:r w:rsidR="000F2059" w:rsidRPr="00A90B6B">
        <w:rPr>
          <w:rFonts w:cstheme="minorHAnsi"/>
          <w:i/>
          <w:u w:val="single"/>
        </w:rPr>
        <w:t>,</w:t>
      </w:r>
      <w:r w:rsidR="003266EC" w:rsidRPr="00A90B6B">
        <w:rPr>
          <w:rFonts w:cstheme="minorHAnsi"/>
          <w:i/>
          <w:u w:val="single"/>
        </w:rPr>
        <w:t xml:space="preserve"> with an emphasis placed on PREA vulnerabilities.  </w:t>
      </w:r>
    </w:p>
    <w:p w:rsidR="003266EC" w:rsidRPr="00BA06F2" w:rsidRDefault="003266EC" w:rsidP="003266EC">
      <w:pPr>
        <w:pStyle w:val="ListParagraph"/>
        <w:spacing w:after="0" w:line="240" w:lineRule="auto"/>
        <w:jc w:val="both"/>
        <w:rPr>
          <w:rFonts w:cstheme="minorHAnsi"/>
          <w:sz w:val="16"/>
          <w:szCs w:val="16"/>
        </w:rPr>
      </w:pPr>
    </w:p>
    <w:p w:rsidR="003266EC" w:rsidRPr="00BA06F2" w:rsidRDefault="003266EC" w:rsidP="00463D31">
      <w:pPr>
        <w:spacing w:after="0" w:line="240" w:lineRule="auto"/>
        <w:jc w:val="both"/>
        <w:rPr>
          <w:rFonts w:cstheme="minorHAnsi"/>
        </w:rPr>
      </w:pPr>
      <w:r w:rsidRPr="00BA06F2">
        <w:rPr>
          <w:rFonts w:cstheme="minorHAnsi"/>
        </w:rPr>
        <w:t>The Task Force specifically</w:t>
      </w:r>
      <w:r w:rsidR="001D6693" w:rsidRPr="00BA06F2">
        <w:rPr>
          <w:rFonts w:cstheme="minorHAnsi"/>
        </w:rPr>
        <w:t xml:space="preserve"> addressed the following PREA </w:t>
      </w:r>
      <w:r w:rsidRPr="00BA06F2">
        <w:rPr>
          <w:rFonts w:cstheme="minorHAnsi"/>
        </w:rPr>
        <w:t>security issues:</w:t>
      </w:r>
    </w:p>
    <w:p w:rsidR="00463D31" w:rsidRPr="00BA06F2" w:rsidRDefault="00463D31" w:rsidP="003266EC">
      <w:pPr>
        <w:pStyle w:val="ListParagraph"/>
        <w:spacing w:after="0" w:line="240" w:lineRule="auto"/>
        <w:jc w:val="both"/>
        <w:rPr>
          <w:rFonts w:cstheme="minorHAnsi"/>
          <w:sz w:val="16"/>
          <w:szCs w:val="16"/>
        </w:rPr>
      </w:pPr>
    </w:p>
    <w:p w:rsidR="003266EC" w:rsidRPr="00BA06F2" w:rsidRDefault="003266EC" w:rsidP="00463D31">
      <w:pPr>
        <w:pStyle w:val="ListParagraph"/>
        <w:numPr>
          <w:ilvl w:val="0"/>
          <w:numId w:val="21"/>
        </w:numPr>
        <w:spacing w:after="0" w:line="240" w:lineRule="auto"/>
        <w:jc w:val="both"/>
        <w:rPr>
          <w:rFonts w:cstheme="minorHAnsi"/>
        </w:rPr>
      </w:pPr>
      <w:r w:rsidRPr="00BA06F2">
        <w:rPr>
          <w:rFonts w:cstheme="minorHAnsi"/>
        </w:rPr>
        <w:t xml:space="preserve">Blind spots </w:t>
      </w:r>
    </w:p>
    <w:p w:rsidR="003266EC" w:rsidRPr="00BA06F2" w:rsidRDefault="003266EC" w:rsidP="00463D31">
      <w:pPr>
        <w:pStyle w:val="ListParagraph"/>
        <w:numPr>
          <w:ilvl w:val="0"/>
          <w:numId w:val="21"/>
        </w:numPr>
        <w:spacing w:after="0" w:line="240" w:lineRule="auto"/>
        <w:jc w:val="both"/>
        <w:rPr>
          <w:rFonts w:cstheme="minorHAnsi"/>
        </w:rPr>
      </w:pPr>
      <w:r w:rsidRPr="00BA06F2">
        <w:rPr>
          <w:rFonts w:cstheme="minorHAnsi"/>
        </w:rPr>
        <w:t xml:space="preserve">CCTV placement and operability </w:t>
      </w:r>
    </w:p>
    <w:p w:rsidR="003266EC" w:rsidRPr="00BA06F2" w:rsidRDefault="003266EC" w:rsidP="00463D31">
      <w:pPr>
        <w:pStyle w:val="ListParagraph"/>
        <w:numPr>
          <w:ilvl w:val="0"/>
          <w:numId w:val="21"/>
        </w:numPr>
        <w:spacing w:after="0" w:line="240" w:lineRule="auto"/>
        <w:jc w:val="both"/>
        <w:rPr>
          <w:rFonts w:cstheme="minorHAnsi"/>
        </w:rPr>
      </w:pPr>
      <w:r w:rsidRPr="00BA06F2">
        <w:rPr>
          <w:rFonts w:cstheme="minorHAnsi"/>
        </w:rPr>
        <w:t>Deficiencies in locking mechanisms and key control</w:t>
      </w:r>
    </w:p>
    <w:p w:rsidR="003266EC" w:rsidRPr="00BA06F2" w:rsidRDefault="006843EC" w:rsidP="00463D31">
      <w:pPr>
        <w:pStyle w:val="ListParagraph"/>
        <w:numPr>
          <w:ilvl w:val="0"/>
          <w:numId w:val="21"/>
        </w:numPr>
        <w:spacing w:after="0" w:line="240" w:lineRule="auto"/>
        <w:jc w:val="both"/>
        <w:rPr>
          <w:rFonts w:cstheme="minorHAnsi"/>
        </w:rPr>
      </w:pPr>
      <w:r w:rsidRPr="00BA06F2">
        <w:rPr>
          <w:rFonts w:cstheme="minorHAnsi"/>
        </w:rPr>
        <w:t xml:space="preserve">Officer positioning </w:t>
      </w:r>
      <w:r w:rsidR="003266EC" w:rsidRPr="00BA06F2">
        <w:rPr>
          <w:rFonts w:cstheme="minorHAnsi"/>
        </w:rPr>
        <w:t>and officer</w:t>
      </w:r>
      <w:r w:rsidR="000F2059" w:rsidRPr="00BA06F2">
        <w:rPr>
          <w:rFonts w:cstheme="minorHAnsi"/>
        </w:rPr>
        <w:t>-</w:t>
      </w:r>
      <w:r w:rsidR="003266EC" w:rsidRPr="00BA06F2">
        <w:rPr>
          <w:rFonts w:cstheme="minorHAnsi"/>
        </w:rPr>
        <w:t xml:space="preserve"> to</w:t>
      </w:r>
      <w:r w:rsidR="000F2059" w:rsidRPr="00BA06F2">
        <w:rPr>
          <w:rFonts w:cstheme="minorHAnsi"/>
        </w:rPr>
        <w:t>-</w:t>
      </w:r>
      <w:r w:rsidR="003266EC" w:rsidRPr="00BA06F2">
        <w:rPr>
          <w:rFonts w:cstheme="minorHAnsi"/>
        </w:rPr>
        <w:t xml:space="preserve"> youth ratios</w:t>
      </w:r>
    </w:p>
    <w:p w:rsidR="003266EC" w:rsidRPr="00BA06F2" w:rsidRDefault="003266EC" w:rsidP="003266EC">
      <w:pPr>
        <w:pStyle w:val="ListParagraph"/>
        <w:spacing w:after="0" w:line="240" w:lineRule="auto"/>
        <w:ind w:left="2160"/>
        <w:jc w:val="both"/>
        <w:rPr>
          <w:rFonts w:cstheme="minorHAnsi"/>
          <w:sz w:val="16"/>
          <w:szCs w:val="16"/>
        </w:rPr>
      </w:pPr>
    </w:p>
    <w:p w:rsidR="00813A72" w:rsidRPr="00A90B6B" w:rsidRDefault="006843EC" w:rsidP="006843EC">
      <w:pPr>
        <w:spacing w:after="0" w:line="240" w:lineRule="auto"/>
        <w:jc w:val="both"/>
        <w:rPr>
          <w:rFonts w:cstheme="minorHAnsi"/>
          <w:i/>
          <w:u w:val="single"/>
        </w:rPr>
      </w:pPr>
      <w:r w:rsidRPr="00A90B6B">
        <w:rPr>
          <w:rFonts w:cstheme="minorHAnsi"/>
          <w:i/>
          <w:u w:val="single"/>
        </w:rPr>
        <w:t xml:space="preserve">March 2012, the DJJ hired the first statewide PREA Coordinator and the PREA Oversight Committee was formed.  The committee initially ensured that processes were developed based on the draft </w:t>
      </w:r>
      <w:r w:rsidR="0051171A" w:rsidRPr="00A90B6B">
        <w:rPr>
          <w:rFonts w:cstheme="minorHAnsi"/>
          <w:i/>
          <w:u w:val="single"/>
        </w:rPr>
        <w:t xml:space="preserve">Department of Justice </w:t>
      </w:r>
      <w:r w:rsidR="00463D31" w:rsidRPr="00A90B6B">
        <w:rPr>
          <w:rFonts w:cstheme="minorHAnsi"/>
          <w:i/>
          <w:u w:val="single"/>
        </w:rPr>
        <w:t>Standards</w:t>
      </w:r>
      <w:r w:rsidRPr="00A90B6B">
        <w:rPr>
          <w:rFonts w:cstheme="minorHAnsi"/>
          <w:i/>
          <w:u w:val="single"/>
        </w:rPr>
        <w:t xml:space="preserve">. </w:t>
      </w:r>
      <w:r w:rsidR="001D6693" w:rsidRPr="00A90B6B">
        <w:rPr>
          <w:rFonts w:cstheme="minorHAnsi"/>
          <w:i/>
          <w:u w:val="single"/>
        </w:rPr>
        <w:t xml:space="preserve">The </w:t>
      </w:r>
      <w:r w:rsidR="009C1143" w:rsidRPr="00A90B6B">
        <w:rPr>
          <w:rFonts w:cstheme="minorHAnsi"/>
          <w:i/>
          <w:u w:val="single"/>
        </w:rPr>
        <w:t xml:space="preserve">DJJ </w:t>
      </w:r>
      <w:r w:rsidR="001D6693" w:rsidRPr="00A90B6B">
        <w:rPr>
          <w:rFonts w:cstheme="minorHAnsi"/>
          <w:i/>
          <w:u w:val="single"/>
        </w:rPr>
        <w:t>Coordinator/Committee focused on the following:</w:t>
      </w:r>
      <w:r w:rsidRPr="00A90B6B">
        <w:rPr>
          <w:rFonts w:cstheme="minorHAnsi"/>
          <w:i/>
          <w:u w:val="single"/>
        </w:rPr>
        <w:t xml:space="preserve"> </w:t>
      </w:r>
    </w:p>
    <w:p w:rsidR="00463D31" w:rsidRPr="00BA06F2" w:rsidRDefault="00463D31" w:rsidP="006843EC">
      <w:pPr>
        <w:spacing w:after="0" w:line="240" w:lineRule="auto"/>
        <w:jc w:val="both"/>
        <w:rPr>
          <w:rFonts w:cstheme="minorHAnsi"/>
          <w:i/>
          <w:sz w:val="16"/>
          <w:szCs w:val="16"/>
          <w:u w:val="single"/>
        </w:rPr>
      </w:pPr>
    </w:p>
    <w:p w:rsidR="00813A72" w:rsidRPr="00BA06F2" w:rsidRDefault="00813A72" w:rsidP="00736C44">
      <w:pPr>
        <w:pStyle w:val="ListParagraph"/>
        <w:numPr>
          <w:ilvl w:val="0"/>
          <w:numId w:val="6"/>
        </w:numPr>
        <w:spacing w:after="0" w:line="240" w:lineRule="auto"/>
        <w:jc w:val="both"/>
        <w:rPr>
          <w:rFonts w:cstheme="minorHAnsi"/>
        </w:rPr>
      </w:pPr>
      <w:r w:rsidRPr="00BA06F2">
        <w:rPr>
          <w:rFonts w:cstheme="minorHAnsi"/>
        </w:rPr>
        <w:t xml:space="preserve">All </w:t>
      </w:r>
      <w:r w:rsidR="0073699E" w:rsidRPr="00BA06F2">
        <w:rPr>
          <w:rFonts w:cstheme="minorHAnsi"/>
        </w:rPr>
        <w:t>contracts with public and private agencies w</w:t>
      </w:r>
      <w:r w:rsidR="009C1143" w:rsidRPr="00BA06F2">
        <w:rPr>
          <w:rFonts w:cstheme="minorHAnsi"/>
        </w:rPr>
        <w:t>hich</w:t>
      </w:r>
      <w:r w:rsidR="0073699E" w:rsidRPr="00BA06F2">
        <w:rPr>
          <w:rFonts w:cstheme="minorHAnsi"/>
        </w:rPr>
        <w:t xml:space="preserve"> housed youths were amended to include the legal obligation to comply with PREA standards.</w:t>
      </w:r>
      <w:r w:rsidRPr="00BA06F2">
        <w:rPr>
          <w:rFonts w:cstheme="minorHAnsi"/>
        </w:rPr>
        <w:t xml:space="preserve">  </w:t>
      </w:r>
    </w:p>
    <w:p w:rsidR="0073699E" w:rsidRPr="00BA06F2" w:rsidRDefault="0073699E" w:rsidP="006843EC">
      <w:pPr>
        <w:spacing w:after="0" w:line="240" w:lineRule="auto"/>
        <w:jc w:val="both"/>
        <w:rPr>
          <w:rFonts w:cstheme="minorHAnsi"/>
          <w:sz w:val="16"/>
          <w:szCs w:val="16"/>
        </w:rPr>
      </w:pPr>
    </w:p>
    <w:p w:rsidR="0073699E" w:rsidRPr="00BA06F2" w:rsidRDefault="0073699E" w:rsidP="00736C44">
      <w:pPr>
        <w:pStyle w:val="ListParagraph"/>
        <w:numPr>
          <w:ilvl w:val="0"/>
          <w:numId w:val="6"/>
        </w:numPr>
        <w:spacing w:after="0" w:line="240" w:lineRule="auto"/>
        <w:jc w:val="both"/>
        <w:rPr>
          <w:rFonts w:cstheme="minorHAnsi"/>
        </w:rPr>
      </w:pPr>
      <w:r w:rsidRPr="00BA06F2">
        <w:rPr>
          <w:rFonts w:cstheme="minorHAnsi"/>
        </w:rPr>
        <w:t xml:space="preserve">All facilities and community offices appointed a PREA Compliance Officer, who ensured PREA compliance at their respective facility/office. </w:t>
      </w:r>
    </w:p>
    <w:p w:rsidR="0073699E" w:rsidRPr="00BA06F2" w:rsidRDefault="0073699E" w:rsidP="006843EC">
      <w:pPr>
        <w:spacing w:after="0" w:line="240" w:lineRule="auto"/>
        <w:jc w:val="both"/>
        <w:rPr>
          <w:rFonts w:cstheme="minorHAnsi"/>
          <w:sz w:val="16"/>
          <w:szCs w:val="16"/>
        </w:rPr>
      </w:pPr>
    </w:p>
    <w:p w:rsidR="0073699E" w:rsidRPr="00BA06F2" w:rsidRDefault="0051171A" w:rsidP="00736C44">
      <w:pPr>
        <w:pStyle w:val="ListParagraph"/>
        <w:numPr>
          <w:ilvl w:val="0"/>
          <w:numId w:val="6"/>
        </w:numPr>
        <w:spacing w:after="0" w:line="240" w:lineRule="auto"/>
        <w:jc w:val="both"/>
      </w:pPr>
      <w:r w:rsidRPr="00BA06F2">
        <w:rPr>
          <w:rFonts w:cstheme="minorHAnsi"/>
        </w:rPr>
        <w:t xml:space="preserve">Georgia DJJ’s </w:t>
      </w:r>
      <w:r w:rsidR="0073699E" w:rsidRPr="00BA06F2">
        <w:rPr>
          <w:rFonts w:cstheme="minorHAnsi"/>
        </w:rPr>
        <w:t>PREA Webpage was developed and implemented to keep both staff and the public aware of the department’s efforts to comply with PREA.</w:t>
      </w:r>
      <w:r w:rsidR="0073699E" w:rsidRPr="00BA06F2">
        <w:t xml:space="preserve"> </w:t>
      </w:r>
    </w:p>
    <w:p w:rsidR="0073699E" w:rsidRPr="00BA06F2" w:rsidRDefault="0073699E" w:rsidP="006843EC">
      <w:pPr>
        <w:spacing w:after="0" w:line="240" w:lineRule="auto"/>
        <w:jc w:val="both"/>
        <w:rPr>
          <w:sz w:val="16"/>
          <w:szCs w:val="16"/>
        </w:rPr>
      </w:pPr>
    </w:p>
    <w:p w:rsidR="0073699E" w:rsidRPr="00BA06F2" w:rsidRDefault="0073699E" w:rsidP="00736C44">
      <w:pPr>
        <w:pStyle w:val="ListParagraph"/>
        <w:numPr>
          <w:ilvl w:val="0"/>
          <w:numId w:val="6"/>
        </w:numPr>
        <w:spacing w:after="0" w:line="240" w:lineRule="auto"/>
        <w:jc w:val="both"/>
        <w:rPr>
          <w:rFonts w:cstheme="minorHAnsi"/>
        </w:rPr>
      </w:pPr>
      <w:r w:rsidRPr="00BA06F2">
        <w:rPr>
          <w:rFonts w:cstheme="minorHAnsi"/>
        </w:rPr>
        <w:t xml:space="preserve">Office doors, shower areas, and locking mechanisms were redesigned or corrected to ensure proper monitoring and safety.  PREA-specific shower curtains were added that allowed youth privacy but ensured proper monitoring for safety. </w:t>
      </w:r>
    </w:p>
    <w:p w:rsidR="00736C44" w:rsidRPr="00BA06F2" w:rsidRDefault="00736C44" w:rsidP="00736C44">
      <w:pPr>
        <w:pStyle w:val="ListParagraph"/>
        <w:rPr>
          <w:rFonts w:cstheme="minorHAnsi"/>
          <w:sz w:val="16"/>
          <w:szCs w:val="16"/>
        </w:rPr>
      </w:pPr>
    </w:p>
    <w:p w:rsidR="00F20EF9" w:rsidRPr="00BA06F2" w:rsidRDefault="00736C44" w:rsidP="00736C44">
      <w:pPr>
        <w:pStyle w:val="ListParagraph"/>
        <w:numPr>
          <w:ilvl w:val="0"/>
          <w:numId w:val="6"/>
        </w:numPr>
        <w:spacing w:after="0" w:line="240" w:lineRule="auto"/>
        <w:jc w:val="both"/>
        <w:rPr>
          <w:rFonts w:cstheme="minorHAnsi"/>
        </w:rPr>
      </w:pPr>
      <w:r w:rsidRPr="00BA06F2">
        <w:rPr>
          <w:rFonts w:cstheme="minorHAnsi"/>
        </w:rPr>
        <w:t xml:space="preserve">A stand-alone PREA policy was developed, authorized and released agency-wide.  The PREA National Standards were integrated into more than 50 pre-existing GA DJJ polices. </w:t>
      </w:r>
    </w:p>
    <w:p w:rsidR="00736C44" w:rsidRPr="00BA06F2" w:rsidRDefault="00736C44" w:rsidP="00736C44">
      <w:pPr>
        <w:pStyle w:val="ListParagraph"/>
        <w:rPr>
          <w:rFonts w:cstheme="minorHAnsi"/>
          <w:sz w:val="16"/>
          <w:szCs w:val="16"/>
        </w:rPr>
      </w:pPr>
    </w:p>
    <w:p w:rsidR="00736C44" w:rsidRPr="00BA06F2" w:rsidRDefault="00736C44" w:rsidP="00736C44">
      <w:pPr>
        <w:pStyle w:val="ListParagraph"/>
        <w:numPr>
          <w:ilvl w:val="0"/>
          <w:numId w:val="6"/>
        </w:numPr>
        <w:spacing w:after="0" w:line="240" w:lineRule="auto"/>
        <w:jc w:val="both"/>
        <w:rPr>
          <w:rFonts w:cstheme="minorHAnsi"/>
        </w:rPr>
      </w:pPr>
      <w:r w:rsidRPr="00BA06F2">
        <w:rPr>
          <w:rFonts w:cstheme="minorHAnsi"/>
        </w:rPr>
        <w:t>Youth Information/Education materials were developed.  These include guidelines, pamphlets, and posters in both English and Spanish.  These materials were placed in youth areas in facilities and community offices.</w:t>
      </w:r>
    </w:p>
    <w:p w:rsidR="002E7207" w:rsidRPr="00BA06F2" w:rsidRDefault="002E7207" w:rsidP="002E7207">
      <w:pPr>
        <w:pStyle w:val="ListParagraph"/>
        <w:rPr>
          <w:rFonts w:cstheme="minorHAnsi"/>
          <w:sz w:val="16"/>
          <w:szCs w:val="16"/>
        </w:rPr>
      </w:pPr>
    </w:p>
    <w:p w:rsidR="002E7207" w:rsidRPr="00BA06F2" w:rsidRDefault="002E7207" w:rsidP="00A0294B">
      <w:pPr>
        <w:pStyle w:val="ListParagraph"/>
        <w:numPr>
          <w:ilvl w:val="0"/>
          <w:numId w:val="6"/>
        </w:numPr>
        <w:spacing w:after="0" w:line="240" w:lineRule="auto"/>
        <w:jc w:val="both"/>
        <w:rPr>
          <w:rFonts w:cstheme="minorHAnsi"/>
        </w:rPr>
      </w:pPr>
      <w:r w:rsidRPr="00BA06F2">
        <w:rPr>
          <w:rFonts w:cstheme="minorHAnsi"/>
        </w:rPr>
        <w:t xml:space="preserve">The web-based </w:t>
      </w:r>
      <w:r w:rsidR="00FA64BE" w:rsidRPr="00BA06F2">
        <w:rPr>
          <w:rFonts w:cstheme="minorHAnsi"/>
        </w:rPr>
        <w:t xml:space="preserve">GA </w:t>
      </w:r>
      <w:r w:rsidRPr="00BA06F2">
        <w:rPr>
          <w:rFonts w:cstheme="minorHAnsi"/>
        </w:rPr>
        <w:t xml:space="preserve">DJJ TIP Line was created to enhance outside reporting </w:t>
      </w:r>
      <w:r w:rsidR="00A0294B" w:rsidRPr="00BA06F2">
        <w:rPr>
          <w:rFonts w:cstheme="minorHAnsi"/>
        </w:rPr>
        <w:t xml:space="preserve">by parents and advocates </w:t>
      </w:r>
      <w:r w:rsidR="009C1143" w:rsidRPr="00BA06F2">
        <w:rPr>
          <w:rFonts w:cstheme="minorHAnsi"/>
        </w:rPr>
        <w:t>about</w:t>
      </w:r>
      <w:r w:rsidR="003F4043" w:rsidRPr="00BA06F2">
        <w:rPr>
          <w:rFonts w:cstheme="minorHAnsi"/>
        </w:rPr>
        <w:t xml:space="preserve"> any </w:t>
      </w:r>
      <w:r w:rsidRPr="00BA06F2">
        <w:rPr>
          <w:rFonts w:cstheme="minorHAnsi"/>
        </w:rPr>
        <w:t>abuses to include sexua</w:t>
      </w:r>
      <w:r w:rsidR="00A0294B" w:rsidRPr="00BA06F2">
        <w:rPr>
          <w:rFonts w:cstheme="minorHAnsi"/>
        </w:rPr>
        <w:t>l abuse of youth within our care</w:t>
      </w:r>
      <w:r w:rsidRPr="00BA06F2">
        <w:rPr>
          <w:rFonts w:cstheme="minorHAnsi"/>
        </w:rPr>
        <w:t xml:space="preserve">.  </w:t>
      </w:r>
    </w:p>
    <w:p w:rsidR="00736C44" w:rsidRPr="00BA06F2" w:rsidRDefault="00736C44" w:rsidP="00736C44">
      <w:pPr>
        <w:spacing w:after="0" w:line="240" w:lineRule="auto"/>
        <w:jc w:val="both"/>
        <w:rPr>
          <w:rFonts w:cstheme="minorHAnsi"/>
          <w:sz w:val="16"/>
          <w:szCs w:val="16"/>
        </w:rPr>
      </w:pPr>
    </w:p>
    <w:p w:rsidR="001D6693" w:rsidRPr="00A90B6B" w:rsidRDefault="00736C44" w:rsidP="000A5392">
      <w:pPr>
        <w:spacing w:after="0" w:line="240" w:lineRule="auto"/>
        <w:jc w:val="both"/>
        <w:rPr>
          <w:rFonts w:cstheme="minorHAnsi"/>
          <w:i/>
          <w:u w:val="single"/>
        </w:rPr>
      </w:pPr>
      <w:r w:rsidRPr="00A90B6B">
        <w:rPr>
          <w:rFonts w:cstheme="minorHAnsi"/>
          <w:i/>
          <w:u w:val="single"/>
        </w:rPr>
        <w:t>Efforts to enhance specialized services for youth have been implemented that include:</w:t>
      </w:r>
    </w:p>
    <w:p w:rsidR="00463D31" w:rsidRPr="00A90B6B" w:rsidRDefault="00463D31" w:rsidP="000A5392">
      <w:pPr>
        <w:spacing w:after="0" w:line="240" w:lineRule="auto"/>
        <w:jc w:val="both"/>
        <w:rPr>
          <w:rFonts w:cstheme="minorHAnsi"/>
          <w:i/>
          <w:sz w:val="16"/>
          <w:szCs w:val="16"/>
          <w:u w:val="single"/>
        </w:rPr>
      </w:pPr>
    </w:p>
    <w:p w:rsidR="001D6693" w:rsidRPr="00BA06F2" w:rsidRDefault="001D6693" w:rsidP="001D6693">
      <w:pPr>
        <w:pStyle w:val="ListParagraph"/>
        <w:numPr>
          <w:ilvl w:val="0"/>
          <w:numId w:val="10"/>
        </w:numPr>
        <w:spacing w:after="0" w:line="240" w:lineRule="auto"/>
        <w:jc w:val="both"/>
        <w:rPr>
          <w:rFonts w:cstheme="minorHAnsi"/>
        </w:rPr>
      </w:pPr>
      <w:r w:rsidRPr="00BA06F2">
        <w:rPr>
          <w:rFonts w:cstheme="minorHAnsi"/>
        </w:rPr>
        <w:t xml:space="preserve">Medical and Mental Health Screenings were modified to include required PREA information. </w:t>
      </w:r>
    </w:p>
    <w:p w:rsidR="001D6693" w:rsidRPr="00BA06F2" w:rsidRDefault="001D6693" w:rsidP="001D6693">
      <w:pPr>
        <w:pStyle w:val="ListParagraph"/>
        <w:spacing w:after="0" w:line="240" w:lineRule="auto"/>
        <w:jc w:val="both"/>
        <w:rPr>
          <w:rFonts w:cstheme="minorHAnsi"/>
          <w:sz w:val="16"/>
          <w:szCs w:val="16"/>
        </w:rPr>
      </w:pPr>
    </w:p>
    <w:p w:rsidR="001D6693" w:rsidRPr="00BA06F2" w:rsidRDefault="001D6693" w:rsidP="001D6693">
      <w:pPr>
        <w:pStyle w:val="ListParagraph"/>
        <w:numPr>
          <w:ilvl w:val="0"/>
          <w:numId w:val="10"/>
        </w:numPr>
        <w:spacing w:after="0" w:line="240" w:lineRule="auto"/>
        <w:jc w:val="both"/>
        <w:rPr>
          <w:rFonts w:cstheme="minorHAnsi"/>
        </w:rPr>
      </w:pPr>
      <w:r w:rsidRPr="00BA06F2">
        <w:rPr>
          <w:rFonts w:cstheme="minorHAnsi"/>
        </w:rPr>
        <w:t>Youth Educational Sessions were conducted with all youth.  These sessions included the required PREA information</w:t>
      </w:r>
      <w:r w:rsidR="009C1143" w:rsidRPr="00BA06F2">
        <w:rPr>
          <w:rFonts w:cstheme="minorHAnsi"/>
        </w:rPr>
        <w:t>,</w:t>
      </w:r>
      <w:r w:rsidRPr="00BA06F2">
        <w:rPr>
          <w:rFonts w:cstheme="minorHAnsi"/>
        </w:rPr>
        <w:t xml:space="preserve"> including the enhanced </w:t>
      </w:r>
      <w:r w:rsidR="002E7207" w:rsidRPr="00BA06F2">
        <w:rPr>
          <w:rFonts w:cstheme="minorHAnsi"/>
        </w:rPr>
        <w:t>reporting procedures.</w:t>
      </w:r>
    </w:p>
    <w:p w:rsidR="000A5392" w:rsidRPr="00BA06F2" w:rsidRDefault="000A5392" w:rsidP="000A5392">
      <w:pPr>
        <w:spacing w:after="0" w:line="240" w:lineRule="auto"/>
        <w:jc w:val="both"/>
        <w:rPr>
          <w:rFonts w:cstheme="minorHAnsi"/>
          <w:sz w:val="16"/>
          <w:szCs w:val="16"/>
        </w:rPr>
      </w:pPr>
    </w:p>
    <w:p w:rsidR="00A0294B" w:rsidRPr="00BA06F2" w:rsidRDefault="001D6693" w:rsidP="00A0294B">
      <w:pPr>
        <w:pStyle w:val="ListParagraph"/>
        <w:numPr>
          <w:ilvl w:val="0"/>
          <w:numId w:val="10"/>
        </w:numPr>
        <w:spacing w:after="0" w:line="240" w:lineRule="auto"/>
        <w:jc w:val="both"/>
        <w:rPr>
          <w:rFonts w:cstheme="minorHAnsi"/>
        </w:rPr>
      </w:pPr>
      <w:r w:rsidRPr="00BA06F2">
        <w:rPr>
          <w:rFonts w:cstheme="minorHAnsi"/>
        </w:rPr>
        <w:t xml:space="preserve">Each facility entered into </w:t>
      </w:r>
      <w:r w:rsidR="009C1143" w:rsidRPr="00BA06F2">
        <w:rPr>
          <w:rFonts w:cstheme="minorHAnsi"/>
        </w:rPr>
        <w:t xml:space="preserve">a </w:t>
      </w:r>
      <w:r w:rsidRPr="00BA06F2">
        <w:rPr>
          <w:rFonts w:cstheme="minorHAnsi"/>
        </w:rPr>
        <w:t>mem</w:t>
      </w:r>
      <w:r w:rsidR="00406423" w:rsidRPr="00BA06F2">
        <w:rPr>
          <w:rFonts w:cstheme="minorHAnsi"/>
        </w:rPr>
        <w:t>orandum</w:t>
      </w:r>
      <w:r w:rsidRPr="00BA06F2">
        <w:rPr>
          <w:rFonts w:cstheme="minorHAnsi"/>
        </w:rPr>
        <w:t xml:space="preserve"> of understanding with community service providers </w:t>
      </w:r>
      <w:r w:rsidR="00041EA0" w:rsidRPr="00BA06F2">
        <w:rPr>
          <w:rFonts w:cstheme="minorHAnsi"/>
        </w:rPr>
        <w:t xml:space="preserve">and victim advocate services </w:t>
      </w:r>
      <w:r w:rsidRPr="00BA06F2">
        <w:rPr>
          <w:rFonts w:cstheme="minorHAnsi"/>
        </w:rPr>
        <w:t xml:space="preserve">that are able to provide youth services related to sexual assault and abuse. </w:t>
      </w:r>
    </w:p>
    <w:p w:rsidR="002D488B" w:rsidRPr="00BA06F2" w:rsidRDefault="002D488B" w:rsidP="007551B9">
      <w:pPr>
        <w:spacing w:after="0" w:line="240" w:lineRule="auto"/>
        <w:jc w:val="both"/>
        <w:rPr>
          <w:rFonts w:cstheme="minorHAnsi"/>
          <w:sz w:val="16"/>
          <w:szCs w:val="16"/>
        </w:rPr>
      </w:pPr>
    </w:p>
    <w:p w:rsidR="007551B9" w:rsidRPr="00A90B6B" w:rsidRDefault="007551B9" w:rsidP="007551B9">
      <w:pPr>
        <w:spacing w:after="0" w:line="240" w:lineRule="auto"/>
        <w:jc w:val="both"/>
        <w:rPr>
          <w:rFonts w:cstheme="minorHAnsi"/>
          <w:i/>
          <w:u w:val="single"/>
        </w:rPr>
      </w:pPr>
      <w:r w:rsidRPr="00A90B6B">
        <w:rPr>
          <w:rFonts w:cstheme="minorHAnsi"/>
          <w:i/>
          <w:u w:val="single"/>
        </w:rPr>
        <w:t xml:space="preserve">Staff Training enhanced, developed, and implemented </w:t>
      </w:r>
      <w:r w:rsidR="009C1143" w:rsidRPr="00A90B6B">
        <w:rPr>
          <w:rFonts w:cstheme="minorHAnsi"/>
          <w:i/>
          <w:u w:val="single"/>
        </w:rPr>
        <w:t>to</w:t>
      </w:r>
      <w:r w:rsidRPr="00A90B6B">
        <w:rPr>
          <w:rFonts w:cstheme="minorHAnsi"/>
          <w:i/>
          <w:u w:val="single"/>
        </w:rPr>
        <w:t xml:space="preserve"> address specific PREA needs that include:</w:t>
      </w:r>
    </w:p>
    <w:p w:rsidR="00463D31" w:rsidRPr="00A90B6B" w:rsidRDefault="00463D31" w:rsidP="007551B9">
      <w:pPr>
        <w:spacing w:after="0" w:line="240" w:lineRule="auto"/>
        <w:jc w:val="both"/>
        <w:rPr>
          <w:rFonts w:cstheme="minorHAnsi"/>
          <w:i/>
          <w:sz w:val="16"/>
          <w:szCs w:val="16"/>
          <w:u w:val="single"/>
        </w:rPr>
      </w:pPr>
    </w:p>
    <w:p w:rsidR="000A5392" w:rsidRPr="00BA06F2" w:rsidRDefault="000A5392" w:rsidP="000A5392">
      <w:pPr>
        <w:pStyle w:val="ListParagraph"/>
        <w:numPr>
          <w:ilvl w:val="0"/>
          <w:numId w:val="17"/>
        </w:numPr>
        <w:spacing w:after="0" w:line="240" w:lineRule="auto"/>
        <w:jc w:val="both"/>
        <w:rPr>
          <w:rFonts w:cstheme="minorHAnsi"/>
        </w:rPr>
      </w:pPr>
      <w:r w:rsidRPr="00BA06F2">
        <w:rPr>
          <w:rFonts w:cstheme="minorHAnsi"/>
        </w:rPr>
        <w:t xml:space="preserve">The Investigations Unit participated in </w:t>
      </w:r>
      <w:r w:rsidR="009C1143" w:rsidRPr="00BA06F2">
        <w:rPr>
          <w:rFonts w:cstheme="minorHAnsi"/>
        </w:rPr>
        <w:t xml:space="preserve">specialized PREA-related incident </w:t>
      </w:r>
      <w:r w:rsidRPr="00BA06F2">
        <w:rPr>
          <w:rFonts w:cstheme="minorHAnsi"/>
        </w:rPr>
        <w:t xml:space="preserve">training </w:t>
      </w:r>
      <w:r w:rsidR="009C1143" w:rsidRPr="00BA06F2">
        <w:rPr>
          <w:rFonts w:cstheme="minorHAnsi"/>
        </w:rPr>
        <w:t xml:space="preserve">held in late 2011. </w:t>
      </w:r>
      <w:r w:rsidRPr="00BA06F2">
        <w:rPr>
          <w:rFonts w:cstheme="minorHAnsi"/>
        </w:rPr>
        <w:t xml:space="preserve">This training </w:t>
      </w:r>
      <w:r w:rsidR="00FA64BE" w:rsidRPr="00BA06F2">
        <w:rPr>
          <w:rFonts w:cstheme="minorHAnsi"/>
        </w:rPr>
        <w:t xml:space="preserve">sponsored by the Moss Group, </w:t>
      </w:r>
      <w:r w:rsidRPr="00BA06F2">
        <w:rPr>
          <w:rFonts w:cstheme="minorHAnsi"/>
        </w:rPr>
        <w:t xml:space="preserve">was </w:t>
      </w:r>
      <w:r w:rsidR="00FA64BE" w:rsidRPr="00BA06F2">
        <w:rPr>
          <w:rFonts w:cstheme="minorHAnsi"/>
        </w:rPr>
        <w:t xml:space="preserve">conducted </w:t>
      </w:r>
      <w:r w:rsidRPr="00BA06F2">
        <w:rPr>
          <w:rFonts w:cstheme="minorHAnsi"/>
        </w:rPr>
        <w:t>in partnership with the GA Department of Corrections</w:t>
      </w:r>
      <w:r w:rsidR="00FA64BE" w:rsidRPr="00BA06F2">
        <w:rPr>
          <w:rFonts w:cstheme="minorHAnsi"/>
        </w:rPr>
        <w:t>.</w:t>
      </w:r>
      <w:r w:rsidRPr="00BA06F2">
        <w:rPr>
          <w:rFonts w:cstheme="minorHAnsi"/>
        </w:rPr>
        <w:t xml:space="preserve"> </w:t>
      </w:r>
    </w:p>
    <w:p w:rsidR="000A5392" w:rsidRPr="00BA06F2" w:rsidRDefault="000A5392" w:rsidP="007551B9">
      <w:pPr>
        <w:spacing w:after="0" w:line="240" w:lineRule="auto"/>
        <w:jc w:val="both"/>
        <w:rPr>
          <w:rFonts w:cstheme="minorHAnsi"/>
          <w:sz w:val="16"/>
          <w:szCs w:val="16"/>
        </w:rPr>
      </w:pPr>
    </w:p>
    <w:p w:rsidR="007551B9" w:rsidRPr="00BA06F2" w:rsidRDefault="007551B9" w:rsidP="00D66B60">
      <w:pPr>
        <w:pStyle w:val="ListParagraph"/>
        <w:numPr>
          <w:ilvl w:val="0"/>
          <w:numId w:val="11"/>
        </w:numPr>
        <w:jc w:val="both"/>
        <w:rPr>
          <w:rFonts w:cstheme="minorHAnsi"/>
        </w:rPr>
      </w:pPr>
      <w:r w:rsidRPr="00BA06F2">
        <w:rPr>
          <w:rFonts w:cstheme="minorHAnsi"/>
        </w:rPr>
        <w:t>Medical Staff received specialized training in the area</w:t>
      </w:r>
      <w:r w:rsidR="003F4043" w:rsidRPr="00BA06F2">
        <w:rPr>
          <w:rFonts w:cstheme="minorHAnsi"/>
        </w:rPr>
        <w:t>s of Forensic Nursing</w:t>
      </w:r>
      <w:r w:rsidRPr="00BA06F2">
        <w:rPr>
          <w:rFonts w:cstheme="minorHAnsi"/>
        </w:rPr>
        <w:t xml:space="preserve"> and Sexual Abuse Education and Prevention.</w:t>
      </w:r>
    </w:p>
    <w:p w:rsidR="007551B9" w:rsidRPr="00BA06F2" w:rsidRDefault="007551B9" w:rsidP="007551B9">
      <w:pPr>
        <w:pStyle w:val="ListParagraph"/>
        <w:rPr>
          <w:rFonts w:cstheme="minorHAnsi"/>
          <w:sz w:val="16"/>
          <w:szCs w:val="16"/>
        </w:rPr>
      </w:pPr>
    </w:p>
    <w:p w:rsidR="007551B9" w:rsidRPr="00BA06F2" w:rsidRDefault="00FA64BE" w:rsidP="007551B9">
      <w:pPr>
        <w:pStyle w:val="ListParagraph"/>
        <w:numPr>
          <w:ilvl w:val="0"/>
          <w:numId w:val="11"/>
        </w:numPr>
        <w:spacing w:after="0" w:line="240" w:lineRule="auto"/>
        <w:jc w:val="both"/>
        <w:rPr>
          <w:rFonts w:cstheme="minorHAnsi"/>
          <w:sz w:val="16"/>
          <w:szCs w:val="16"/>
        </w:rPr>
      </w:pPr>
      <w:r w:rsidRPr="00BA06F2">
        <w:rPr>
          <w:rFonts w:cstheme="minorHAnsi"/>
        </w:rPr>
        <w:t>All GA DJJ facility Directors, and e</w:t>
      </w:r>
      <w:r w:rsidR="007551B9" w:rsidRPr="00BA06F2">
        <w:rPr>
          <w:rFonts w:cstheme="minorHAnsi"/>
        </w:rPr>
        <w:t xml:space="preserve">xecutive level and mid-level staff participated in a one-day PREA management course conducted by the Moss Group.  </w:t>
      </w:r>
    </w:p>
    <w:p w:rsidR="00FA64BE" w:rsidRPr="00BA06F2" w:rsidRDefault="00FA64BE" w:rsidP="00FA64BE">
      <w:pPr>
        <w:pStyle w:val="ListParagraph"/>
        <w:rPr>
          <w:rFonts w:cstheme="minorHAnsi"/>
          <w:sz w:val="16"/>
          <w:szCs w:val="16"/>
        </w:rPr>
      </w:pPr>
    </w:p>
    <w:p w:rsidR="007551B9" w:rsidRPr="00BA06F2" w:rsidRDefault="007551B9" w:rsidP="007551B9">
      <w:pPr>
        <w:pStyle w:val="ListParagraph"/>
        <w:numPr>
          <w:ilvl w:val="0"/>
          <w:numId w:val="11"/>
        </w:numPr>
        <w:spacing w:after="0" w:line="240" w:lineRule="auto"/>
        <w:jc w:val="both"/>
        <w:rPr>
          <w:rFonts w:cstheme="minorHAnsi"/>
        </w:rPr>
      </w:pPr>
      <w:r w:rsidRPr="00BA06F2">
        <w:rPr>
          <w:rFonts w:cstheme="minorHAnsi"/>
        </w:rPr>
        <w:t xml:space="preserve">Agency Investigators participated in a 3-day course specializing in Interviews and Interrogations conducted by the Georgia Bureau of Investigation. </w:t>
      </w:r>
    </w:p>
    <w:p w:rsidR="007551B9" w:rsidRPr="00BA06F2" w:rsidRDefault="007551B9" w:rsidP="007551B9">
      <w:pPr>
        <w:pStyle w:val="ListParagraph"/>
        <w:rPr>
          <w:rFonts w:cstheme="minorHAnsi"/>
          <w:sz w:val="16"/>
          <w:szCs w:val="16"/>
        </w:rPr>
      </w:pPr>
    </w:p>
    <w:p w:rsidR="002E7207" w:rsidRPr="00BA06F2" w:rsidRDefault="007551B9" w:rsidP="0031070D">
      <w:pPr>
        <w:pStyle w:val="ListParagraph"/>
        <w:numPr>
          <w:ilvl w:val="0"/>
          <w:numId w:val="11"/>
        </w:numPr>
        <w:spacing w:after="0" w:line="240" w:lineRule="auto"/>
        <w:jc w:val="both"/>
        <w:rPr>
          <w:rFonts w:cstheme="minorHAnsi"/>
        </w:rPr>
      </w:pPr>
      <w:r w:rsidRPr="00BA06F2">
        <w:rPr>
          <w:rFonts w:cstheme="minorHAnsi"/>
        </w:rPr>
        <w:t xml:space="preserve">As of February 2013, more than 6,500 Georgia Juvenile Justice staff members, volunteers, contractors, and interns completed DJJ’s PREA online training based on their level of contact with DJJ youth. </w:t>
      </w:r>
    </w:p>
    <w:p w:rsidR="0031070D" w:rsidRPr="00BA06F2" w:rsidRDefault="0031070D" w:rsidP="0031070D">
      <w:pPr>
        <w:pStyle w:val="ListParagraph"/>
        <w:rPr>
          <w:rFonts w:cstheme="minorHAnsi"/>
          <w:sz w:val="16"/>
          <w:szCs w:val="16"/>
        </w:rPr>
      </w:pPr>
    </w:p>
    <w:p w:rsidR="0031070D" w:rsidRPr="00BA06F2" w:rsidRDefault="00FA64BE" w:rsidP="00A0294B">
      <w:pPr>
        <w:pStyle w:val="ListParagraph"/>
        <w:numPr>
          <w:ilvl w:val="0"/>
          <w:numId w:val="11"/>
        </w:numPr>
        <w:spacing w:after="0" w:line="240" w:lineRule="auto"/>
        <w:jc w:val="both"/>
        <w:rPr>
          <w:rFonts w:cstheme="minorHAnsi"/>
          <w:sz w:val="16"/>
          <w:szCs w:val="16"/>
        </w:rPr>
      </w:pPr>
      <w:r w:rsidRPr="00BA06F2">
        <w:rPr>
          <w:rFonts w:cstheme="minorHAnsi"/>
        </w:rPr>
        <w:t xml:space="preserve">In partnership with the Governor’s Office for Children and Families’ and the Georgia Center for Child Advocacy, </w:t>
      </w:r>
      <w:r w:rsidR="0031070D" w:rsidRPr="00BA06F2">
        <w:rPr>
          <w:rFonts w:cstheme="minorHAnsi"/>
        </w:rPr>
        <w:t>GA DJJ implemented evidenced</w:t>
      </w:r>
      <w:r w:rsidR="003F4043" w:rsidRPr="00BA06F2">
        <w:rPr>
          <w:rFonts w:cstheme="minorHAnsi"/>
        </w:rPr>
        <w:t>-</w:t>
      </w:r>
      <w:r w:rsidR="0031070D" w:rsidRPr="00BA06F2">
        <w:rPr>
          <w:rFonts w:cstheme="minorHAnsi"/>
        </w:rPr>
        <w:t xml:space="preserve">based training for staff who deal with sexually abused children.  </w:t>
      </w:r>
    </w:p>
    <w:p w:rsidR="00FA64BE" w:rsidRDefault="00FA64BE" w:rsidP="002E7207">
      <w:pPr>
        <w:spacing w:after="0" w:line="240" w:lineRule="auto"/>
        <w:jc w:val="both"/>
        <w:rPr>
          <w:rFonts w:cstheme="minorHAnsi"/>
          <w:i/>
          <w:u w:val="single"/>
        </w:rPr>
      </w:pPr>
    </w:p>
    <w:p w:rsidR="00967FF5" w:rsidRPr="00BA06F2" w:rsidRDefault="00967FF5" w:rsidP="002E7207">
      <w:pPr>
        <w:spacing w:after="0" w:line="240" w:lineRule="auto"/>
        <w:jc w:val="both"/>
        <w:rPr>
          <w:rFonts w:cstheme="minorHAnsi"/>
          <w:i/>
          <w:u w:val="single"/>
        </w:rPr>
      </w:pPr>
    </w:p>
    <w:p w:rsidR="002E7207" w:rsidRPr="003D1D42" w:rsidRDefault="002E7207" w:rsidP="002E7207">
      <w:pPr>
        <w:spacing w:after="0" w:line="240" w:lineRule="auto"/>
        <w:jc w:val="both"/>
        <w:rPr>
          <w:rFonts w:cstheme="minorHAnsi"/>
          <w:i/>
          <w:u w:val="single"/>
        </w:rPr>
      </w:pPr>
      <w:r w:rsidRPr="003D1D42">
        <w:rPr>
          <w:rFonts w:cstheme="minorHAnsi"/>
          <w:i/>
          <w:u w:val="single"/>
        </w:rPr>
        <w:lastRenderedPageBreak/>
        <w:t>Other concentrated efforts include:</w:t>
      </w:r>
    </w:p>
    <w:p w:rsidR="003B7CD5" w:rsidRPr="00BA06F2" w:rsidRDefault="003B7CD5" w:rsidP="002E7207">
      <w:pPr>
        <w:spacing w:after="0" w:line="240" w:lineRule="auto"/>
        <w:jc w:val="both"/>
        <w:rPr>
          <w:rFonts w:cstheme="minorHAnsi"/>
          <w:i/>
          <w:sz w:val="16"/>
          <w:szCs w:val="16"/>
          <w:u w:val="single"/>
        </w:rPr>
      </w:pPr>
    </w:p>
    <w:p w:rsidR="002E7207" w:rsidRPr="00BA06F2" w:rsidRDefault="002E7207" w:rsidP="002E7207">
      <w:pPr>
        <w:pStyle w:val="ListParagraph"/>
        <w:numPr>
          <w:ilvl w:val="0"/>
          <w:numId w:val="16"/>
        </w:numPr>
        <w:spacing w:after="0" w:line="240" w:lineRule="auto"/>
        <w:jc w:val="both"/>
        <w:rPr>
          <w:rFonts w:cstheme="minorHAnsi"/>
          <w:b/>
        </w:rPr>
      </w:pPr>
      <w:r w:rsidRPr="00BA06F2">
        <w:rPr>
          <w:rFonts w:cstheme="minorHAnsi"/>
        </w:rPr>
        <w:t>The Moss Group conducted Sexual Safety Assessments in five facilities t</w:t>
      </w:r>
      <w:r w:rsidR="00975B65" w:rsidRPr="00BA06F2">
        <w:rPr>
          <w:rFonts w:cstheme="minorHAnsi"/>
        </w:rPr>
        <w:t xml:space="preserve">o evaluate </w:t>
      </w:r>
      <w:r w:rsidRPr="00BA06F2">
        <w:rPr>
          <w:rFonts w:cstheme="minorHAnsi"/>
        </w:rPr>
        <w:t>facility strengths, reporting culture, and training.</w:t>
      </w:r>
    </w:p>
    <w:p w:rsidR="002E7207" w:rsidRPr="00BA06F2" w:rsidRDefault="002E7207" w:rsidP="002E7207">
      <w:pPr>
        <w:pStyle w:val="ListParagraph"/>
        <w:spacing w:after="0" w:line="240" w:lineRule="auto"/>
        <w:jc w:val="both"/>
        <w:rPr>
          <w:rFonts w:cstheme="minorHAnsi"/>
          <w:b/>
          <w:sz w:val="16"/>
          <w:szCs w:val="16"/>
        </w:rPr>
      </w:pPr>
    </w:p>
    <w:p w:rsidR="002E7207" w:rsidRPr="00BA06F2" w:rsidRDefault="002E7207" w:rsidP="002E7207">
      <w:pPr>
        <w:pStyle w:val="ListParagraph"/>
        <w:numPr>
          <w:ilvl w:val="0"/>
          <w:numId w:val="16"/>
        </w:numPr>
        <w:spacing w:after="0" w:line="240" w:lineRule="auto"/>
        <w:jc w:val="both"/>
        <w:rPr>
          <w:rFonts w:cstheme="minorHAnsi"/>
          <w:b/>
        </w:rPr>
      </w:pPr>
      <w:r w:rsidRPr="00BA06F2">
        <w:rPr>
          <w:rFonts w:cstheme="minorHAnsi"/>
        </w:rPr>
        <w:t xml:space="preserve">The Moss Group also conducted interviews with executive level staff as well as other key management positions </w:t>
      </w:r>
      <w:r w:rsidR="00975B65" w:rsidRPr="00BA06F2">
        <w:rPr>
          <w:rFonts w:cstheme="minorHAnsi"/>
        </w:rPr>
        <w:t xml:space="preserve">to </w:t>
      </w:r>
      <w:r w:rsidRPr="00BA06F2">
        <w:rPr>
          <w:rFonts w:cstheme="minorHAnsi"/>
        </w:rPr>
        <w:t>assess the overall understanding and support</w:t>
      </w:r>
      <w:r w:rsidR="00975B65" w:rsidRPr="00BA06F2">
        <w:rPr>
          <w:rFonts w:cstheme="minorHAnsi"/>
        </w:rPr>
        <w:t xml:space="preserve"> for</w:t>
      </w:r>
      <w:r w:rsidRPr="00BA06F2">
        <w:rPr>
          <w:rFonts w:cstheme="minorHAnsi"/>
        </w:rPr>
        <w:t xml:space="preserve"> the PREA initiative.</w:t>
      </w:r>
    </w:p>
    <w:p w:rsidR="002E7207" w:rsidRPr="00BA06F2" w:rsidRDefault="002E7207" w:rsidP="002E7207">
      <w:pPr>
        <w:pStyle w:val="ListParagraph"/>
        <w:rPr>
          <w:rFonts w:cstheme="minorHAnsi"/>
          <w:b/>
          <w:sz w:val="16"/>
          <w:szCs w:val="16"/>
        </w:rPr>
      </w:pPr>
    </w:p>
    <w:p w:rsidR="002E7207" w:rsidRPr="00BA06F2" w:rsidRDefault="002E7207" w:rsidP="002E7207">
      <w:pPr>
        <w:pStyle w:val="ListParagraph"/>
        <w:numPr>
          <w:ilvl w:val="0"/>
          <w:numId w:val="16"/>
        </w:numPr>
        <w:spacing w:after="0" w:line="240" w:lineRule="auto"/>
        <w:jc w:val="both"/>
        <w:rPr>
          <w:rFonts w:cstheme="minorHAnsi"/>
          <w:b/>
        </w:rPr>
      </w:pPr>
      <w:r w:rsidRPr="00BA06F2">
        <w:rPr>
          <w:rFonts w:cstheme="minorHAnsi"/>
        </w:rPr>
        <w:t xml:space="preserve">Key </w:t>
      </w:r>
      <w:r w:rsidR="00320DB8" w:rsidRPr="00BA06F2">
        <w:rPr>
          <w:rFonts w:cstheme="minorHAnsi"/>
        </w:rPr>
        <w:t xml:space="preserve">GA DJJ </w:t>
      </w:r>
      <w:r w:rsidRPr="00BA06F2">
        <w:rPr>
          <w:rFonts w:cstheme="minorHAnsi"/>
        </w:rPr>
        <w:t>executive/management staff participated in the Southeastern PREA Leadership Summit hosted by the Louisiana DJJ.</w:t>
      </w:r>
    </w:p>
    <w:p w:rsidR="002E7207" w:rsidRPr="00BA06F2" w:rsidRDefault="002E7207" w:rsidP="002E7207">
      <w:pPr>
        <w:pStyle w:val="ListParagraph"/>
        <w:rPr>
          <w:rFonts w:cstheme="minorHAnsi"/>
          <w:b/>
          <w:sz w:val="16"/>
          <w:szCs w:val="16"/>
        </w:rPr>
      </w:pPr>
    </w:p>
    <w:p w:rsidR="002E7207" w:rsidRPr="00BA06F2" w:rsidRDefault="002E7207" w:rsidP="00D66B60">
      <w:pPr>
        <w:pStyle w:val="ListParagraph"/>
        <w:numPr>
          <w:ilvl w:val="0"/>
          <w:numId w:val="16"/>
        </w:numPr>
        <w:jc w:val="both"/>
        <w:rPr>
          <w:rFonts w:cstheme="minorHAnsi"/>
          <w:b/>
        </w:rPr>
      </w:pPr>
      <w:r w:rsidRPr="00BA06F2">
        <w:rPr>
          <w:rFonts w:cstheme="minorHAnsi"/>
        </w:rPr>
        <w:t>PREA goals were included in the Georgia Department of Juvenile Justice Fiscal Years 2013 -2016 Strategic Plan to ensure budget commitments and annual allocations of staff.</w:t>
      </w:r>
    </w:p>
    <w:p w:rsidR="000A5392" w:rsidRPr="00BA06F2" w:rsidRDefault="000A5392" w:rsidP="000A5392">
      <w:pPr>
        <w:pStyle w:val="ListParagraph"/>
        <w:rPr>
          <w:rFonts w:cstheme="minorHAnsi"/>
          <w:b/>
          <w:sz w:val="16"/>
          <w:szCs w:val="16"/>
        </w:rPr>
      </w:pPr>
    </w:p>
    <w:p w:rsidR="000A5392" w:rsidRPr="00BA06F2" w:rsidRDefault="000A5392" w:rsidP="00D66B60">
      <w:pPr>
        <w:pStyle w:val="ListParagraph"/>
        <w:numPr>
          <w:ilvl w:val="0"/>
          <w:numId w:val="16"/>
        </w:numPr>
        <w:jc w:val="both"/>
        <w:rPr>
          <w:rFonts w:cstheme="minorHAnsi"/>
          <w:b/>
        </w:rPr>
      </w:pPr>
      <w:r w:rsidRPr="00BA06F2">
        <w:rPr>
          <w:rFonts w:cstheme="minorHAnsi"/>
        </w:rPr>
        <w:t xml:space="preserve">Based on the </w:t>
      </w:r>
      <w:r w:rsidR="003B7CD5" w:rsidRPr="00BA06F2">
        <w:rPr>
          <w:rFonts w:cstheme="minorHAnsi"/>
        </w:rPr>
        <w:t xml:space="preserve">Department of Justice (DOJ) </w:t>
      </w:r>
      <w:r w:rsidRPr="00BA06F2">
        <w:rPr>
          <w:rFonts w:cstheme="minorHAnsi"/>
        </w:rPr>
        <w:t>survey findings, a special</w:t>
      </w:r>
      <w:r w:rsidR="00A0294B" w:rsidRPr="00BA06F2">
        <w:rPr>
          <w:rFonts w:cstheme="minorHAnsi"/>
        </w:rPr>
        <w:t xml:space="preserve"> DJJ PREA Advisory Committee </w:t>
      </w:r>
      <w:r w:rsidRPr="00BA06F2">
        <w:rPr>
          <w:rFonts w:cstheme="minorHAnsi"/>
        </w:rPr>
        <w:t>review</w:t>
      </w:r>
      <w:r w:rsidR="00A0294B" w:rsidRPr="00BA06F2">
        <w:rPr>
          <w:rFonts w:cstheme="minorHAnsi"/>
        </w:rPr>
        <w:t>ed</w:t>
      </w:r>
      <w:r w:rsidRPr="00BA06F2">
        <w:rPr>
          <w:rFonts w:cstheme="minorHAnsi"/>
        </w:rPr>
        <w:t xml:space="preserve"> all PREA inve</w:t>
      </w:r>
      <w:r w:rsidR="00A0294B" w:rsidRPr="00BA06F2">
        <w:rPr>
          <w:rFonts w:cstheme="minorHAnsi"/>
        </w:rPr>
        <w:t>stigative case files</w:t>
      </w:r>
      <w:r w:rsidRPr="00BA06F2">
        <w:rPr>
          <w:rFonts w:cstheme="minorHAnsi"/>
        </w:rPr>
        <w:t xml:space="preserve">.  </w:t>
      </w:r>
      <w:r w:rsidRPr="00BA06F2">
        <w:rPr>
          <w:rFonts w:cstheme="minorHAnsi"/>
          <w:b/>
        </w:rPr>
        <w:t>NOTE</w:t>
      </w:r>
      <w:r w:rsidRPr="00BA06F2">
        <w:rPr>
          <w:rFonts w:cstheme="minorHAnsi"/>
        </w:rPr>
        <w:t>: The finding</w:t>
      </w:r>
      <w:r w:rsidR="00686A59" w:rsidRPr="00BA06F2">
        <w:rPr>
          <w:rFonts w:cstheme="minorHAnsi"/>
        </w:rPr>
        <w:t>s</w:t>
      </w:r>
      <w:r w:rsidRPr="00BA06F2">
        <w:rPr>
          <w:rFonts w:cstheme="minorHAnsi"/>
        </w:rPr>
        <w:t xml:space="preserve"> revealed that DJJ did not have a strong reporting culture during the DOJ Survey period, January 1, 2011 through December 31, 2011. </w:t>
      </w:r>
    </w:p>
    <w:p w:rsidR="0031070D" w:rsidRPr="00BA06F2" w:rsidRDefault="0031070D" w:rsidP="0031070D">
      <w:pPr>
        <w:pStyle w:val="ListParagraph"/>
        <w:rPr>
          <w:rFonts w:cstheme="minorHAnsi"/>
          <w:b/>
          <w:sz w:val="16"/>
          <w:szCs w:val="16"/>
        </w:rPr>
      </w:pPr>
    </w:p>
    <w:p w:rsidR="0031070D" w:rsidRPr="00BA06F2" w:rsidRDefault="0031070D" w:rsidP="00D66B60">
      <w:pPr>
        <w:pStyle w:val="ListParagraph"/>
        <w:numPr>
          <w:ilvl w:val="0"/>
          <w:numId w:val="16"/>
        </w:numPr>
        <w:jc w:val="both"/>
        <w:rPr>
          <w:rFonts w:cstheme="minorHAnsi"/>
        </w:rPr>
      </w:pPr>
      <w:r w:rsidRPr="00BA06F2">
        <w:rPr>
          <w:rFonts w:cstheme="minorHAnsi"/>
        </w:rPr>
        <w:t xml:space="preserve">A revamp of the investigations protocol was implemented.  This aligned </w:t>
      </w:r>
      <w:r w:rsidR="00D66B60" w:rsidRPr="00BA06F2">
        <w:rPr>
          <w:rFonts w:cstheme="minorHAnsi"/>
        </w:rPr>
        <w:t>GA DJJ’s</w:t>
      </w:r>
      <w:r w:rsidRPr="00BA06F2">
        <w:rPr>
          <w:rFonts w:cstheme="minorHAnsi"/>
        </w:rPr>
        <w:t xml:space="preserve"> investigatory efforts with current PREA Standards to include using the specific PREA definitions for tracking purposes.</w:t>
      </w:r>
    </w:p>
    <w:p w:rsidR="00033E0C" w:rsidRPr="00BA06F2" w:rsidRDefault="00033E0C" w:rsidP="00D66B60">
      <w:pPr>
        <w:pStyle w:val="ListParagraph"/>
        <w:jc w:val="both"/>
        <w:rPr>
          <w:rFonts w:cstheme="minorHAnsi"/>
          <w:sz w:val="16"/>
          <w:szCs w:val="16"/>
        </w:rPr>
      </w:pPr>
    </w:p>
    <w:p w:rsidR="00033E0C" w:rsidRPr="00BA06F2" w:rsidRDefault="00033E0C" w:rsidP="00D66B60">
      <w:pPr>
        <w:pStyle w:val="ListParagraph"/>
        <w:numPr>
          <w:ilvl w:val="0"/>
          <w:numId w:val="18"/>
        </w:numPr>
        <w:jc w:val="both"/>
        <w:rPr>
          <w:rFonts w:cstheme="minorHAnsi"/>
          <w:b/>
        </w:rPr>
      </w:pPr>
      <w:r w:rsidRPr="00BA06F2">
        <w:rPr>
          <w:rFonts w:cstheme="minorHAnsi"/>
        </w:rPr>
        <w:t xml:space="preserve">October 16, 2013, the GA DJJ youth </w:t>
      </w:r>
      <w:r w:rsidR="00F04C87" w:rsidRPr="00BA06F2">
        <w:rPr>
          <w:rFonts w:cstheme="minorHAnsi"/>
        </w:rPr>
        <w:t>PREA C</w:t>
      </w:r>
      <w:r w:rsidRPr="00BA06F2">
        <w:rPr>
          <w:rFonts w:cstheme="minorHAnsi"/>
        </w:rPr>
        <w:t>urriculum was release</w:t>
      </w:r>
      <w:r w:rsidR="00406423" w:rsidRPr="00BA06F2">
        <w:rPr>
          <w:rFonts w:cstheme="minorHAnsi"/>
        </w:rPr>
        <w:t>d</w:t>
      </w:r>
      <w:r w:rsidRPr="00BA06F2">
        <w:rPr>
          <w:rFonts w:cstheme="minorHAnsi"/>
        </w:rPr>
        <w:t>.  The PREA curriculum model is comprised of several sets of resources, tailored to the duration of a youth’s confinement.  This curriculum focuses on:</w:t>
      </w:r>
    </w:p>
    <w:p w:rsidR="00033E0C" w:rsidRPr="00BA06F2" w:rsidRDefault="00033E0C" w:rsidP="00D66B60">
      <w:pPr>
        <w:pStyle w:val="ListParagraph"/>
        <w:jc w:val="both"/>
        <w:rPr>
          <w:rFonts w:cstheme="minorHAnsi"/>
          <w:sz w:val="16"/>
          <w:szCs w:val="16"/>
        </w:rPr>
      </w:pPr>
    </w:p>
    <w:p w:rsidR="00033E0C" w:rsidRPr="00BA06F2" w:rsidRDefault="00033E0C" w:rsidP="00033E0C">
      <w:pPr>
        <w:pStyle w:val="ListParagraph"/>
        <w:numPr>
          <w:ilvl w:val="0"/>
          <w:numId w:val="19"/>
        </w:numPr>
        <w:rPr>
          <w:rFonts w:cstheme="minorHAnsi"/>
          <w:b/>
        </w:rPr>
      </w:pPr>
      <w:r w:rsidRPr="00BA06F2">
        <w:rPr>
          <w:rFonts w:cstheme="minorHAnsi"/>
        </w:rPr>
        <w:t>Providing insight and support to youth who enter the system with vulnerabilities from past experiences of trauma, abuse, or victimization, including guidance in reducing the risk from such experiences.</w:t>
      </w:r>
    </w:p>
    <w:p w:rsidR="00033E0C" w:rsidRPr="00BA06F2" w:rsidRDefault="00033E0C" w:rsidP="00033E0C">
      <w:pPr>
        <w:pStyle w:val="ListParagraph"/>
        <w:numPr>
          <w:ilvl w:val="0"/>
          <w:numId w:val="19"/>
        </w:numPr>
        <w:rPr>
          <w:rFonts w:cstheme="minorHAnsi"/>
          <w:b/>
        </w:rPr>
      </w:pPr>
      <w:r w:rsidRPr="00BA06F2">
        <w:rPr>
          <w:rFonts w:cstheme="minorHAnsi"/>
        </w:rPr>
        <w:t>Reduces the youth’s risk of being a target or a victim of any kind of sexual assault while in our custody.</w:t>
      </w:r>
    </w:p>
    <w:p w:rsidR="00033E0C" w:rsidRPr="00BA06F2" w:rsidRDefault="00033E0C" w:rsidP="00033E0C">
      <w:pPr>
        <w:pStyle w:val="ListParagraph"/>
        <w:numPr>
          <w:ilvl w:val="0"/>
          <w:numId w:val="19"/>
        </w:numPr>
        <w:rPr>
          <w:rFonts w:cstheme="minorHAnsi"/>
          <w:b/>
        </w:rPr>
      </w:pPr>
      <w:r w:rsidRPr="00BA06F2">
        <w:rPr>
          <w:rFonts w:cstheme="minorHAnsi"/>
        </w:rPr>
        <w:t>Expands the awareness of all youth of the range of predatory and sexual acting out behaviors, including bullying, sexual labeling, and name calling.</w:t>
      </w:r>
    </w:p>
    <w:p w:rsidR="00F04C87" w:rsidRPr="00BA06F2" w:rsidRDefault="00F04C87" w:rsidP="00F04C87">
      <w:pPr>
        <w:pStyle w:val="ListParagraph"/>
        <w:ind w:left="1440"/>
        <w:rPr>
          <w:rFonts w:cstheme="minorHAnsi"/>
          <w:b/>
          <w:sz w:val="16"/>
          <w:szCs w:val="16"/>
        </w:rPr>
      </w:pPr>
    </w:p>
    <w:p w:rsidR="00F04C87" w:rsidRPr="00BA06F2" w:rsidRDefault="003B7CD5" w:rsidP="00D66B60">
      <w:pPr>
        <w:pStyle w:val="ListParagraph"/>
        <w:numPr>
          <w:ilvl w:val="0"/>
          <w:numId w:val="18"/>
        </w:numPr>
        <w:jc w:val="both"/>
        <w:rPr>
          <w:rFonts w:cstheme="minorHAnsi"/>
        </w:rPr>
      </w:pPr>
      <w:r w:rsidRPr="00BA06F2">
        <w:rPr>
          <w:rFonts w:cstheme="minorHAnsi"/>
        </w:rPr>
        <w:t>In 2013, t</w:t>
      </w:r>
      <w:r w:rsidR="00F04C87" w:rsidRPr="00BA06F2">
        <w:rPr>
          <w:rFonts w:cstheme="minorHAnsi"/>
        </w:rPr>
        <w:t xml:space="preserve">he creation of the </w:t>
      </w:r>
      <w:r w:rsidR="00D66B60" w:rsidRPr="00BA06F2">
        <w:rPr>
          <w:rFonts w:cstheme="minorHAnsi"/>
        </w:rPr>
        <w:t xml:space="preserve">GA DJJ </w:t>
      </w:r>
      <w:r w:rsidR="00F04C87" w:rsidRPr="00BA06F2">
        <w:rPr>
          <w:rFonts w:cstheme="minorHAnsi"/>
        </w:rPr>
        <w:t xml:space="preserve">Division of Operations and Compliance brought together key components to enhance the overall </w:t>
      </w:r>
      <w:r w:rsidR="00E27780" w:rsidRPr="00BA06F2">
        <w:rPr>
          <w:rFonts w:cstheme="minorHAnsi"/>
        </w:rPr>
        <w:t xml:space="preserve">sexual </w:t>
      </w:r>
      <w:r w:rsidR="00F04C87" w:rsidRPr="00BA06F2">
        <w:rPr>
          <w:rFonts w:cstheme="minorHAnsi"/>
        </w:rPr>
        <w:t xml:space="preserve">safety </w:t>
      </w:r>
      <w:r w:rsidR="00E27780" w:rsidRPr="00BA06F2">
        <w:rPr>
          <w:rFonts w:cstheme="minorHAnsi"/>
        </w:rPr>
        <w:t xml:space="preserve">and general safety and </w:t>
      </w:r>
      <w:r w:rsidR="00F04C87" w:rsidRPr="00BA06F2">
        <w:rPr>
          <w:rFonts w:cstheme="minorHAnsi"/>
        </w:rPr>
        <w:t xml:space="preserve">security of the agency. The re-alignment of the Office of Victim Services; the Office of Special Operations; the Office of Continuous Improvement, the Office of Classification &amp; Transportation; </w:t>
      </w:r>
      <w:r w:rsidR="00D66B60" w:rsidRPr="00BA06F2">
        <w:rPr>
          <w:rFonts w:cstheme="minorHAnsi"/>
        </w:rPr>
        <w:t xml:space="preserve">and </w:t>
      </w:r>
      <w:r w:rsidR="00F04C87" w:rsidRPr="00BA06F2">
        <w:rPr>
          <w:rFonts w:cstheme="minorHAnsi"/>
        </w:rPr>
        <w:t>Program Coordinators: Prison Rape Elimination Act (PREA), Female Services, Gang Services and Intelligence Services</w:t>
      </w:r>
      <w:r w:rsidR="00E27780" w:rsidRPr="00BA06F2">
        <w:rPr>
          <w:rFonts w:cstheme="minorHAnsi"/>
        </w:rPr>
        <w:t xml:space="preserve"> are now operating as one Division.</w:t>
      </w:r>
    </w:p>
    <w:p w:rsidR="000A5392" w:rsidRPr="003D1D42" w:rsidRDefault="000A5392" w:rsidP="000A5392">
      <w:pPr>
        <w:rPr>
          <w:rFonts w:cstheme="minorHAnsi"/>
          <w:i/>
          <w:u w:val="single"/>
        </w:rPr>
      </w:pPr>
      <w:r w:rsidRPr="003D1D42">
        <w:rPr>
          <w:rFonts w:cstheme="minorHAnsi"/>
          <w:i/>
          <w:u w:val="single"/>
        </w:rPr>
        <w:t xml:space="preserve">Our way ahead to </w:t>
      </w:r>
      <w:r w:rsidR="0031070D" w:rsidRPr="003D1D42">
        <w:rPr>
          <w:rFonts w:cstheme="minorHAnsi"/>
          <w:i/>
          <w:u w:val="single"/>
        </w:rPr>
        <w:t xml:space="preserve">further </w:t>
      </w:r>
      <w:r w:rsidRPr="003D1D42">
        <w:rPr>
          <w:rFonts w:cstheme="minorHAnsi"/>
          <w:i/>
          <w:u w:val="single"/>
        </w:rPr>
        <w:t>success:</w:t>
      </w:r>
    </w:p>
    <w:p w:rsidR="000A5392" w:rsidRPr="00BA06F2" w:rsidRDefault="000A5392" w:rsidP="00CD0874">
      <w:pPr>
        <w:pStyle w:val="ListParagraph"/>
        <w:numPr>
          <w:ilvl w:val="0"/>
          <w:numId w:val="18"/>
        </w:numPr>
        <w:rPr>
          <w:rFonts w:cstheme="minorHAnsi"/>
          <w:b/>
        </w:rPr>
      </w:pPr>
      <w:r w:rsidRPr="00BA06F2">
        <w:rPr>
          <w:rFonts w:cstheme="minorHAnsi"/>
        </w:rPr>
        <w:t xml:space="preserve">DJJ has </w:t>
      </w:r>
      <w:r w:rsidR="00C60C64" w:rsidRPr="00BA06F2">
        <w:rPr>
          <w:rFonts w:cstheme="minorHAnsi"/>
        </w:rPr>
        <w:t>recently</w:t>
      </w:r>
      <w:r w:rsidR="0051171A" w:rsidRPr="00BA06F2">
        <w:rPr>
          <w:rFonts w:cstheme="minorHAnsi"/>
        </w:rPr>
        <w:t xml:space="preserve"> received</w:t>
      </w:r>
      <w:r w:rsidRPr="00BA06F2">
        <w:rPr>
          <w:rFonts w:cstheme="minorHAnsi"/>
        </w:rPr>
        <w:t xml:space="preserve"> a second PREA grant.  </w:t>
      </w:r>
      <w:r w:rsidR="0051171A" w:rsidRPr="00BA06F2">
        <w:rPr>
          <w:rFonts w:cstheme="minorHAnsi"/>
        </w:rPr>
        <w:t>The</w:t>
      </w:r>
      <w:r w:rsidR="009C5064" w:rsidRPr="00BA06F2">
        <w:rPr>
          <w:rFonts w:cstheme="minorHAnsi"/>
        </w:rPr>
        <w:t xml:space="preserve"> agency will focus </w:t>
      </w:r>
      <w:r w:rsidR="0051171A" w:rsidRPr="00BA06F2">
        <w:rPr>
          <w:rFonts w:cstheme="minorHAnsi"/>
        </w:rPr>
        <w:t xml:space="preserve">efforts related to this grant </w:t>
      </w:r>
      <w:r w:rsidR="009C5064" w:rsidRPr="00BA06F2">
        <w:rPr>
          <w:rFonts w:cstheme="minorHAnsi"/>
        </w:rPr>
        <w:t>on</w:t>
      </w:r>
      <w:r w:rsidRPr="00BA06F2">
        <w:rPr>
          <w:rFonts w:cstheme="minorHAnsi"/>
        </w:rPr>
        <w:t xml:space="preserve"> youth reporting to an outside entity and gender responsive training for all staff. </w:t>
      </w:r>
    </w:p>
    <w:p w:rsidR="000A5392" w:rsidRPr="00BA06F2" w:rsidRDefault="000A5392" w:rsidP="000A5392">
      <w:pPr>
        <w:pStyle w:val="ListParagraph"/>
        <w:rPr>
          <w:rFonts w:cstheme="minorHAnsi"/>
          <w:b/>
          <w:sz w:val="16"/>
          <w:szCs w:val="16"/>
        </w:rPr>
      </w:pPr>
    </w:p>
    <w:p w:rsidR="0031070D" w:rsidRPr="00BA06F2" w:rsidRDefault="0031070D" w:rsidP="0031070D">
      <w:pPr>
        <w:pStyle w:val="ListParagraph"/>
        <w:numPr>
          <w:ilvl w:val="0"/>
          <w:numId w:val="20"/>
        </w:numPr>
        <w:rPr>
          <w:rFonts w:cstheme="minorHAnsi"/>
        </w:rPr>
      </w:pPr>
      <w:r w:rsidRPr="00BA06F2">
        <w:rPr>
          <w:rFonts w:cstheme="minorHAnsi"/>
        </w:rPr>
        <w:lastRenderedPageBreak/>
        <w:t>Incorporating a telephone reporting system that will report to a third party org</w:t>
      </w:r>
      <w:r w:rsidR="003F4043" w:rsidRPr="00BA06F2">
        <w:rPr>
          <w:rFonts w:cstheme="minorHAnsi"/>
        </w:rPr>
        <w:t xml:space="preserve">anization </w:t>
      </w:r>
      <w:r w:rsidRPr="00BA06F2">
        <w:rPr>
          <w:rFonts w:cstheme="minorHAnsi"/>
        </w:rPr>
        <w:t>that we will contract for implementation during our FY 2014 Budget.</w:t>
      </w:r>
    </w:p>
    <w:p w:rsidR="003B7CD5" w:rsidRPr="00BA06F2" w:rsidRDefault="003B7CD5" w:rsidP="003B7CD5">
      <w:pPr>
        <w:pStyle w:val="ListParagraph"/>
        <w:rPr>
          <w:rFonts w:cstheme="minorHAnsi"/>
          <w:sz w:val="16"/>
          <w:szCs w:val="16"/>
        </w:rPr>
      </w:pPr>
    </w:p>
    <w:p w:rsidR="005B1F95" w:rsidRPr="00BA06F2" w:rsidRDefault="0031070D" w:rsidP="005B1F95">
      <w:pPr>
        <w:pStyle w:val="ListParagraph"/>
        <w:numPr>
          <w:ilvl w:val="0"/>
          <w:numId w:val="20"/>
        </w:numPr>
        <w:jc w:val="both"/>
        <w:rPr>
          <w:rFonts w:cstheme="minorHAnsi"/>
          <w:sz w:val="16"/>
          <w:szCs w:val="16"/>
        </w:rPr>
      </w:pPr>
      <w:r w:rsidRPr="00BA06F2">
        <w:rPr>
          <w:rFonts w:cstheme="minorHAnsi"/>
        </w:rPr>
        <w:t xml:space="preserve">Pursuing </w:t>
      </w:r>
      <w:r w:rsidR="005B1F95" w:rsidRPr="00BA06F2">
        <w:rPr>
          <w:rFonts w:cstheme="minorHAnsi"/>
        </w:rPr>
        <w:t xml:space="preserve">processes </w:t>
      </w:r>
      <w:r w:rsidRPr="00BA06F2">
        <w:rPr>
          <w:rFonts w:cstheme="minorHAnsi"/>
        </w:rPr>
        <w:t xml:space="preserve">to incorporate a kiosk reporting system in the dayrooms of secure facilities that </w:t>
      </w:r>
      <w:r w:rsidR="005B1F95" w:rsidRPr="00BA06F2">
        <w:rPr>
          <w:rFonts w:cstheme="minorHAnsi"/>
        </w:rPr>
        <w:t xml:space="preserve">would </w:t>
      </w:r>
      <w:r w:rsidRPr="00BA06F2">
        <w:rPr>
          <w:rFonts w:cstheme="minorHAnsi"/>
        </w:rPr>
        <w:t xml:space="preserve">allow youth </w:t>
      </w:r>
      <w:r w:rsidR="00043817" w:rsidRPr="00BA06F2">
        <w:rPr>
          <w:rFonts w:cstheme="minorHAnsi"/>
        </w:rPr>
        <w:t xml:space="preserve">in detention </w:t>
      </w:r>
      <w:r w:rsidRPr="00BA06F2">
        <w:rPr>
          <w:rFonts w:cstheme="minorHAnsi"/>
        </w:rPr>
        <w:t>opportunit</w:t>
      </w:r>
      <w:r w:rsidR="005B1F95" w:rsidRPr="00BA06F2">
        <w:rPr>
          <w:rFonts w:cstheme="minorHAnsi"/>
        </w:rPr>
        <w:t>ies</w:t>
      </w:r>
      <w:r w:rsidRPr="00BA06F2">
        <w:rPr>
          <w:rFonts w:cstheme="minorHAnsi"/>
        </w:rPr>
        <w:t xml:space="preserve"> to report </w:t>
      </w:r>
      <w:r w:rsidR="005B1F95" w:rsidRPr="00BA06F2">
        <w:rPr>
          <w:rFonts w:cstheme="minorHAnsi"/>
        </w:rPr>
        <w:t>sex-based allegations</w:t>
      </w:r>
      <w:r w:rsidRPr="00BA06F2">
        <w:rPr>
          <w:rFonts w:cstheme="minorHAnsi"/>
        </w:rPr>
        <w:t>, a</w:t>
      </w:r>
      <w:r w:rsidR="005B1F95" w:rsidRPr="00BA06F2">
        <w:rPr>
          <w:rFonts w:cstheme="minorHAnsi"/>
        </w:rPr>
        <w:t xml:space="preserve">s well as </w:t>
      </w:r>
      <w:r w:rsidRPr="00BA06F2">
        <w:rPr>
          <w:rFonts w:cstheme="minorHAnsi"/>
        </w:rPr>
        <w:t xml:space="preserve">other </w:t>
      </w:r>
      <w:r w:rsidR="005B1F95" w:rsidRPr="00BA06F2">
        <w:rPr>
          <w:rFonts w:cstheme="minorHAnsi"/>
        </w:rPr>
        <w:t xml:space="preserve">serious </w:t>
      </w:r>
      <w:r w:rsidRPr="00BA06F2">
        <w:rPr>
          <w:rFonts w:cstheme="minorHAnsi"/>
        </w:rPr>
        <w:t>issues</w:t>
      </w:r>
      <w:r w:rsidR="005B1F95" w:rsidRPr="00BA06F2">
        <w:rPr>
          <w:rFonts w:cstheme="minorHAnsi"/>
        </w:rPr>
        <w:t xml:space="preserve"> and complaints</w:t>
      </w:r>
      <w:r w:rsidRPr="00BA06F2">
        <w:rPr>
          <w:rFonts w:cstheme="minorHAnsi"/>
        </w:rPr>
        <w:t>, in an anonymous manner.</w:t>
      </w:r>
      <w:r w:rsidR="00043817" w:rsidRPr="00BA06F2">
        <w:rPr>
          <w:rFonts w:cstheme="minorHAnsi"/>
        </w:rPr>
        <w:t xml:space="preserve">  </w:t>
      </w:r>
    </w:p>
    <w:p w:rsidR="005B1F95" w:rsidRPr="00BA06F2" w:rsidRDefault="005B1F95" w:rsidP="005B1F95">
      <w:pPr>
        <w:pStyle w:val="ListParagraph"/>
        <w:rPr>
          <w:rFonts w:cstheme="minorHAnsi"/>
          <w:sz w:val="16"/>
          <w:szCs w:val="16"/>
        </w:rPr>
      </w:pPr>
    </w:p>
    <w:p w:rsidR="003B7CD5" w:rsidRPr="00BA06F2" w:rsidRDefault="00C60C64" w:rsidP="003B7CD5">
      <w:pPr>
        <w:pStyle w:val="ListParagraph"/>
        <w:numPr>
          <w:ilvl w:val="0"/>
          <w:numId w:val="20"/>
        </w:numPr>
        <w:rPr>
          <w:rFonts w:cstheme="minorHAnsi"/>
          <w:sz w:val="16"/>
          <w:szCs w:val="16"/>
        </w:rPr>
      </w:pPr>
      <w:r w:rsidRPr="00BA06F2">
        <w:rPr>
          <w:rFonts w:cstheme="minorHAnsi"/>
        </w:rPr>
        <w:t>Realizing that we have a high number of female staff working directly with our male youth</w:t>
      </w:r>
      <w:r w:rsidR="005B1F95" w:rsidRPr="00BA06F2">
        <w:rPr>
          <w:rFonts w:cstheme="minorHAnsi"/>
        </w:rPr>
        <w:t xml:space="preserve"> population</w:t>
      </w:r>
      <w:r w:rsidRPr="00BA06F2">
        <w:rPr>
          <w:rFonts w:cstheme="minorHAnsi"/>
        </w:rPr>
        <w:t>, t</w:t>
      </w:r>
      <w:r w:rsidR="0031070D" w:rsidRPr="00BA06F2">
        <w:rPr>
          <w:rFonts w:cstheme="minorHAnsi"/>
        </w:rPr>
        <w:t xml:space="preserve">he agency is looking </w:t>
      </w:r>
      <w:r w:rsidRPr="00BA06F2">
        <w:rPr>
          <w:rFonts w:cstheme="minorHAnsi"/>
        </w:rPr>
        <w:t xml:space="preserve">at moving </w:t>
      </w:r>
      <w:r w:rsidR="0031070D" w:rsidRPr="00BA06F2">
        <w:rPr>
          <w:rFonts w:cstheme="minorHAnsi"/>
        </w:rPr>
        <w:t>forward in 2014 with gender responsive training for staff and youth</w:t>
      </w:r>
      <w:r w:rsidRPr="00BA06F2">
        <w:rPr>
          <w:rFonts w:cstheme="minorHAnsi"/>
        </w:rPr>
        <w:t>.</w:t>
      </w:r>
    </w:p>
    <w:p w:rsidR="00C60C64" w:rsidRPr="00BA06F2" w:rsidRDefault="00C60C64" w:rsidP="00C60C64">
      <w:pPr>
        <w:pStyle w:val="ListParagraph"/>
        <w:rPr>
          <w:rFonts w:cstheme="minorHAnsi"/>
          <w:sz w:val="16"/>
          <w:szCs w:val="16"/>
        </w:rPr>
      </w:pPr>
    </w:p>
    <w:p w:rsidR="0031070D" w:rsidRPr="00BA06F2" w:rsidRDefault="0031070D" w:rsidP="0031070D">
      <w:pPr>
        <w:pStyle w:val="ListParagraph"/>
        <w:numPr>
          <w:ilvl w:val="0"/>
          <w:numId w:val="20"/>
        </w:numPr>
        <w:rPr>
          <w:rFonts w:cstheme="minorHAnsi"/>
        </w:rPr>
      </w:pPr>
      <w:r w:rsidRPr="00BA06F2">
        <w:rPr>
          <w:rFonts w:cstheme="minorHAnsi"/>
        </w:rPr>
        <w:t xml:space="preserve">We will also </w:t>
      </w:r>
      <w:r w:rsidR="00686A59" w:rsidRPr="00BA06F2">
        <w:rPr>
          <w:rFonts w:cstheme="minorHAnsi"/>
        </w:rPr>
        <w:t xml:space="preserve">incorporate more </w:t>
      </w:r>
      <w:r w:rsidR="00C60C64" w:rsidRPr="00BA06F2">
        <w:rPr>
          <w:rFonts w:cstheme="minorHAnsi"/>
        </w:rPr>
        <w:t xml:space="preserve">gender specific </w:t>
      </w:r>
      <w:r w:rsidR="00686A59" w:rsidRPr="00BA06F2">
        <w:rPr>
          <w:rFonts w:cstheme="minorHAnsi"/>
        </w:rPr>
        <w:t xml:space="preserve">training for staff as we </w:t>
      </w:r>
      <w:r w:rsidR="00C60C64" w:rsidRPr="00BA06F2">
        <w:rPr>
          <w:rFonts w:cstheme="minorHAnsi"/>
        </w:rPr>
        <w:t>recognize</w:t>
      </w:r>
      <w:r w:rsidR="00686A59" w:rsidRPr="00BA06F2">
        <w:rPr>
          <w:rFonts w:cstheme="minorHAnsi"/>
        </w:rPr>
        <w:t xml:space="preserve"> </w:t>
      </w:r>
      <w:r w:rsidR="005B1F95" w:rsidRPr="00BA06F2">
        <w:rPr>
          <w:rFonts w:cstheme="minorHAnsi"/>
        </w:rPr>
        <w:t xml:space="preserve">and acknowledge </w:t>
      </w:r>
      <w:r w:rsidR="00686A59" w:rsidRPr="00BA06F2">
        <w:rPr>
          <w:rFonts w:cstheme="minorHAnsi"/>
        </w:rPr>
        <w:t>th</w:t>
      </w:r>
      <w:r w:rsidR="005B1F95" w:rsidRPr="00BA06F2">
        <w:rPr>
          <w:rFonts w:cstheme="minorHAnsi"/>
        </w:rPr>
        <w:t>e differing pathways</w:t>
      </w:r>
      <w:r w:rsidR="00686A59" w:rsidRPr="00BA06F2">
        <w:rPr>
          <w:rFonts w:cstheme="minorHAnsi"/>
        </w:rPr>
        <w:t xml:space="preserve"> for boys and girls</w:t>
      </w:r>
      <w:r w:rsidR="005B1F95" w:rsidRPr="00BA06F2">
        <w:rPr>
          <w:rFonts w:cstheme="minorHAnsi"/>
        </w:rPr>
        <w:t>.</w:t>
      </w:r>
      <w:r w:rsidR="00C60C64" w:rsidRPr="00BA06F2">
        <w:rPr>
          <w:rFonts w:cstheme="minorHAnsi"/>
        </w:rPr>
        <w:t xml:space="preserve"> </w:t>
      </w:r>
    </w:p>
    <w:p w:rsidR="009B5FED" w:rsidRPr="00BA06F2" w:rsidRDefault="009B5FED" w:rsidP="009B5FED">
      <w:pPr>
        <w:pStyle w:val="ListParagraph"/>
        <w:rPr>
          <w:rFonts w:cstheme="minorHAnsi"/>
          <w:sz w:val="16"/>
          <w:szCs w:val="16"/>
        </w:rPr>
      </w:pPr>
    </w:p>
    <w:p w:rsidR="009B5FED" w:rsidRPr="00BA06F2" w:rsidRDefault="00C60C64" w:rsidP="0031070D">
      <w:pPr>
        <w:pStyle w:val="ListParagraph"/>
        <w:numPr>
          <w:ilvl w:val="0"/>
          <w:numId w:val="20"/>
        </w:numPr>
        <w:rPr>
          <w:rFonts w:cstheme="minorHAnsi"/>
        </w:rPr>
      </w:pPr>
      <w:r w:rsidRPr="00BA06F2">
        <w:rPr>
          <w:rFonts w:cstheme="minorHAnsi"/>
        </w:rPr>
        <w:t>I</w:t>
      </w:r>
      <w:r w:rsidR="009B5FED" w:rsidRPr="00BA06F2">
        <w:rPr>
          <w:rFonts w:cstheme="minorHAnsi"/>
        </w:rPr>
        <w:t>ncluded in the</w:t>
      </w:r>
      <w:r w:rsidRPr="00BA06F2">
        <w:rPr>
          <w:rFonts w:cstheme="minorHAnsi"/>
        </w:rPr>
        <w:t xml:space="preserve"> agency </w:t>
      </w:r>
      <w:r w:rsidR="009B5FED" w:rsidRPr="00BA06F2">
        <w:rPr>
          <w:rFonts w:cstheme="minorHAnsi"/>
        </w:rPr>
        <w:t xml:space="preserve">2014 – 2016 Strategic Plan </w:t>
      </w:r>
      <w:r w:rsidRPr="00BA06F2">
        <w:rPr>
          <w:rFonts w:cstheme="minorHAnsi"/>
        </w:rPr>
        <w:t xml:space="preserve">is </w:t>
      </w:r>
      <w:r w:rsidR="009B5FED" w:rsidRPr="00BA06F2">
        <w:rPr>
          <w:rFonts w:cstheme="minorHAnsi"/>
        </w:rPr>
        <w:t>the PREA required staff</w:t>
      </w:r>
      <w:r w:rsidRPr="00BA06F2">
        <w:rPr>
          <w:rFonts w:cstheme="minorHAnsi"/>
        </w:rPr>
        <w:t>-</w:t>
      </w:r>
      <w:r w:rsidR="009B5FED" w:rsidRPr="00BA06F2">
        <w:rPr>
          <w:rFonts w:cstheme="minorHAnsi"/>
        </w:rPr>
        <w:t xml:space="preserve"> to</w:t>
      </w:r>
      <w:r w:rsidRPr="00BA06F2">
        <w:rPr>
          <w:rFonts w:cstheme="minorHAnsi"/>
        </w:rPr>
        <w:t>-</w:t>
      </w:r>
      <w:r w:rsidR="009B5FED" w:rsidRPr="00BA06F2">
        <w:rPr>
          <w:rFonts w:cstheme="minorHAnsi"/>
        </w:rPr>
        <w:t xml:space="preserve"> youth ratios, 1:8 during wake hours and 1:16 during sleep hours with effective date of October 1, 2017.</w:t>
      </w:r>
    </w:p>
    <w:p w:rsidR="002D488B" w:rsidRPr="00BA06F2" w:rsidRDefault="002D488B" w:rsidP="002D488B">
      <w:pPr>
        <w:spacing w:after="0" w:line="240" w:lineRule="auto"/>
        <w:jc w:val="both"/>
        <w:rPr>
          <w:rFonts w:cstheme="minorHAnsi"/>
        </w:rPr>
      </w:pPr>
      <w:r w:rsidRPr="00BA06F2">
        <w:rPr>
          <w:rFonts w:cstheme="minorHAnsi"/>
        </w:rPr>
        <w:t xml:space="preserve">Since the release of the National PREA Standards, the agency is moving forward with additional significant changes, efforts and strategies in an effort to continue to reduce incidents of violence or sexual victimization. </w:t>
      </w:r>
      <w:r w:rsidR="00680DEB" w:rsidRPr="00BA06F2">
        <w:rPr>
          <w:rFonts w:cstheme="minorHAnsi"/>
        </w:rPr>
        <w:t xml:space="preserve"> </w:t>
      </w:r>
      <w:r w:rsidRPr="00BA06F2">
        <w:rPr>
          <w:rFonts w:cstheme="minorHAnsi"/>
        </w:rPr>
        <w:t xml:space="preserve">We have no greater responsibility than to first ensure that we do no harm, and secondly that we ensure the safety of youth and staff in our facilities. </w:t>
      </w:r>
    </w:p>
    <w:p w:rsidR="00A901CD" w:rsidRPr="00BA06F2" w:rsidRDefault="00A901CD" w:rsidP="00DB7272">
      <w:pPr>
        <w:spacing w:after="0" w:line="240" w:lineRule="auto"/>
        <w:jc w:val="center"/>
        <w:rPr>
          <w:rFonts w:ascii="Arial Black" w:hAnsi="Arial Black" w:cstheme="minorHAnsi"/>
          <w:b/>
          <w:sz w:val="16"/>
          <w:szCs w:val="16"/>
        </w:rPr>
      </w:pPr>
    </w:p>
    <w:p w:rsidR="002D488B" w:rsidRPr="00BA06F2" w:rsidRDefault="005D3E89" w:rsidP="00DB7272">
      <w:pPr>
        <w:spacing w:after="0" w:line="240" w:lineRule="auto"/>
        <w:jc w:val="center"/>
        <w:rPr>
          <w:rFonts w:ascii="Arial Black" w:hAnsi="Arial Black" w:cstheme="minorHAnsi"/>
          <w:b/>
        </w:rPr>
      </w:pPr>
      <w:r w:rsidRPr="00BA06F2">
        <w:rPr>
          <w:rFonts w:ascii="Arial Black" w:hAnsi="Arial Black" w:cstheme="minorHAnsi"/>
          <w:b/>
        </w:rPr>
        <w:t xml:space="preserve">DJJ </w:t>
      </w:r>
      <w:r w:rsidR="002D488B" w:rsidRPr="00BA06F2">
        <w:rPr>
          <w:rFonts w:ascii="Arial Black" w:hAnsi="Arial Black" w:cstheme="minorHAnsi"/>
          <w:b/>
        </w:rPr>
        <w:t xml:space="preserve">PREA </w:t>
      </w:r>
      <w:r w:rsidR="00D36F8C" w:rsidRPr="00BA06F2">
        <w:rPr>
          <w:rFonts w:ascii="Arial Black" w:hAnsi="Arial Black" w:cstheme="minorHAnsi"/>
          <w:b/>
        </w:rPr>
        <w:t xml:space="preserve">2014 </w:t>
      </w:r>
      <w:r w:rsidR="002D488B" w:rsidRPr="00BA06F2">
        <w:rPr>
          <w:rFonts w:ascii="Arial Black" w:hAnsi="Arial Black" w:cstheme="minorHAnsi"/>
          <w:b/>
        </w:rPr>
        <w:t>Certification Methodologies</w:t>
      </w:r>
    </w:p>
    <w:p w:rsidR="00A901CD" w:rsidRPr="00BA06F2" w:rsidRDefault="00A901CD" w:rsidP="00DB7272">
      <w:pPr>
        <w:spacing w:after="0" w:line="240" w:lineRule="auto"/>
        <w:jc w:val="center"/>
        <w:rPr>
          <w:rFonts w:ascii="Arial Black" w:hAnsi="Arial Black" w:cstheme="minorHAnsi"/>
          <w:b/>
          <w:sz w:val="16"/>
          <w:szCs w:val="16"/>
        </w:rPr>
      </w:pPr>
    </w:p>
    <w:p w:rsidR="002D488B" w:rsidRPr="00BA06F2" w:rsidRDefault="002D488B" w:rsidP="002D488B">
      <w:pPr>
        <w:spacing w:after="0" w:line="240" w:lineRule="auto"/>
        <w:jc w:val="both"/>
        <w:rPr>
          <w:rFonts w:cstheme="minorHAnsi"/>
        </w:rPr>
      </w:pPr>
      <w:r w:rsidRPr="00BA06F2">
        <w:rPr>
          <w:rFonts w:cstheme="minorHAnsi"/>
        </w:rPr>
        <w:t xml:space="preserve">The Georgia Department of Juvenile Justice uses two (2) </w:t>
      </w:r>
      <w:r w:rsidR="00680DEB" w:rsidRPr="00BA06F2">
        <w:rPr>
          <w:rFonts w:cstheme="minorHAnsi"/>
        </w:rPr>
        <w:t xml:space="preserve">study </w:t>
      </w:r>
      <w:r w:rsidRPr="00BA06F2">
        <w:rPr>
          <w:rFonts w:cstheme="minorHAnsi"/>
        </w:rPr>
        <w:t xml:space="preserve">methods to determine agency compliance with PREA.  Methods: </w:t>
      </w:r>
      <w:r w:rsidR="00680DEB" w:rsidRPr="00BA06F2">
        <w:rPr>
          <w:rFonts w:cstheme="minorHAnsi"/>
        </w:rPr>
        <w:t xml:space="preserve"> </w:t>
      </w:r>
      <w:r w:rsidRPr="00BA06F2">
        <w:rPr>
          <w:rFonts w:cstheme="minorHAnsi"/>
        </w:rPr>
        <w:t xml:space="preserve">Certified DOJ Audit Reports and </w:t>
      </w:r>
      <w:r w:rsidR="00680DEB" w:rsidRPr="00BA06F2">
        <w:rPr>
          <w:rFonts w:cstheme="minorHAnsi"/>
        </w:rPr>
        <w:t xml:space="preserve">the </w:t>
      </w:r>
      <w:r w:rsidRPr="00BA06F2">
        <w:rPr>
          <w:rFonts w:cstheme="minorHAnsi"/>
        </w:rPr>
        <w:t>Gap Analysis Report.</w:t>
      </w:r>
      <w:r w:rsidR="00680DEB" w:rsidRPr="00BA06F2">
        <w:rPr>
          <w:rFonts w:cstheme="minorHAnsi"/>
        </w:rPr>
        <w:t xml:space="preserve">  </w:t>
      </w:r>
    </w:p>
    <w:p w:rsidR="002D488B" w:rsidRPr="00BA06F2" w:rsidRDefault="00680DEB" w:rsidP="00680DEB">
      <w:pPr>
        <w:tabs>
          <w:tab w:val="left" w:pos="7515"/>
        </w:tabs>
        <w:spacing w:after="0" w:line="240" w:lineRule="auto"/>
        <w:jc w:val="both"/>
        <w:rPr>
          <w:rFonts w:cstheme="minorHAnsi"/>
          <w:sz w:val="16"/>
          <w:szCs w:val="16"/>
        </w:rPr>
      </w:pPr>
      <w:r w:rsidRPr="00BA06F2">
        <w:rPr>
          <w:rFonts w:cstheme="minorHAnsi"/>
          <w:sz w:val="16"/>
          <w:szCs w:val="16"/>
        </w:rPr>
        <w:tab/>
      </w:r>
    </w:p>
    <w:p w:rsidR="002D488B" w:rsidRPr="00BA06F2" w:rsidRDefault="002D488B" w:rsidP="002D488B">
      <w:pPr>
        <w:spacing w:after="0" w:line="240" w:lineRule="auto"/>
        <w:jc w:val="both"/>
        <w:rPr>
          <w:rFonts w:cstheme="minorHAnsi"/>
          <w:b/>
          <w:i/>
        </w:rPr>
      </w:pPr>
      <w:r w:rsidRPr="00BA06F2">
        <w:rPr>
          <w:rFonts w:cstheme="minorHAnsi"/>
          <w:b/>
          <w:i/>
        </w:rPr>
        <w:t>Certified D</w:t>
      </w:r>
      <w:r w:rsidR="00DB7272" w:rsidRPr="00BA06F2">
        <w:rPr>
          <w:rFonts w:cstheme="minorHAnsi"/>
          <w:b/>
          <w:i/>
        </w:rPr>
        <w:t xml:space="preserve">epartment of Justice </w:t>
      </w:r>
      <w:r w:rsidRPr="00BA06F2">
        <w:rPr>
          <w:rFonts w:cstheme="minorHAnsi"/>
          <w:b/>
          <w:i/>
        </w:rPr>
        <w:t>Audits:</w:t>
      </w:r>
    </w:p>
    <w:p w:rsidR="002D488B" w:rsidRPr="00BA06F2" w:rsidRDefault="002D488B" w:rsidP="002D488B">
      <w:pPr>
        <w:spacing w:after="0" w:line="240" w:lineRule="auto"/>
        <w:jc w:val="both"/>
        <w:rPr>
          <w:rFonts w:cstheme="minorHAnsi"/>
          <w:i/>
          <w:sz w:val="16"/>
          <w:szCs w:val="16"/>
          <w:u w:val="single"/>
        </w:rPr>
      </w:pPr>
    </w:p>
    <w:p w:rsidR="002D488B" w:rsidRPr="00BA06F2" w:rsidRDefault="002D488B" w:rsidP="00680DEB">
      <w:pPr>
        <w:spacing w:after="0" w:line="240" w:lineRule="auto"/>
        <w:jc w:val="both"/>
        <w:rPr>
          <w:rFonts w:cstheme="minorHAnsi"/>
        </w:rPr>
      </w:pPr>
      <w:r w:rsidRPr="00BA06F2">
        <w:rPr>
          <w:rFonts w:cstheme="minorHAnsi"/>
        </w:rPr>
        <w:t>All confinement facilities covered under the Prison Rape Elimination Act (PREA) standards must be audited at least every three years to be compliant with the PREA standards, with one third of each facility type operated by the agency, or private organization on behalf of an agency, audited each year. The audit cycle started August 20, 2013 thru August 1</w:t>
      </w:r>
      <w:r w:rsidR="002A0424" w:rsidRPr="00BA06F2">
        <w:rPr>
          <w:rFonts w:cstheme="minorHAnsi"/>
        </w:rPr>
        <w:t>9</w:t>
      </w:r>
      <w:r w:rsidRPr="00BA06F2">
        <w:rPr>
          <w:rFonts w:cstheme="minorHAnsi"/>
        </w:rPr>
        <w:t>, 2016.</w:t>
      </w:r>
    </w:p>
    <w:p w:rsidR="002D488B" w:rsidRPr="00BA06F2" w:rsidRDefault="002D488B" w:rsidP="002D488B">
      <w:pPr>
        <w:spacing w:after="0" w:line="240" w:lineRule="auto"/>
        <w:rPr>
          <w:rFonts w:cstheme="minorHAnsi"/>
          <w:sz w:val="16"/>
          <w:szCs w:val="16"/>
        </w:rPr>
      </w:pPr>
    </w:p>
    <w:p w:rsidR="002D488B" w:rsidRPr="00BA06F2" w:rsidRDefault="002D488B" w:rsidP="00680DEB">
      <w:pPr>
        <w:spacing w:after="0" w:line="240" w:lineRule="auto"/>
        <w:jc w:val="both"/>
        <w:rPr>
          <w:rFonts w:cstheme="minorHAnsi"/>
        </w:rPr>
      </w:pPr>
      <w:r w:rsidRPr="00BA06F2">
        <w:rPr>
          <w:rFonts w:cstheme="minorHAnsi"/>
        </w:rPr>
        <w:t xml:space="preserve">The following </w:t>
      </w:r>
      <w:r w:rsidR="008A62E6" w:rsidRPr="00BA06F2">
        <w:rPr>
          <w:rFonts w:cstheme="minorHAnsi"/>
        </w:rPr>
        <w:t>are</w:t>
      </w:r>
      <w:r w:rsidRPr="00BA06F2">
        <w:rPr>
          <w:rFonts w:cstheme="minorHAnsi"/>
        </w:rPr>
        <w:t xml:space="preserve"> </w:t>
      </w:r>
      <w:r w:rsidR="008A62E6" w:rsidRPr="00BA06F2">
        <w:rPr>
          <w:rFonts w:cstheme="minorHAnsi"/>
        </w:rPr>
        <w:t>facilities and community residential programs schedule</w:t>
      </w:r>
      <w:r w:rsidR="00406423" w:rsidRPr="00BA06F2">
        <w:rPr>
          <w:rFonts w:cstheme="minorHAnsi"/>
        </w:rPr>
        <w:t>d</w:t>
      </w:r>
      <w:r w:rsidRPr="00BA06F2">
        <w:rPr>
          <w:rFonts w:cstheme="minorHAnsi"/>
        </w:rPr>
        <w:t xml:space="preserve"> </w:t>
      </w:r>
      <w:r w:rsidR="008A62E6" w:rsidRPr="00BA06F2">
        <w:rPr>
          <w:rFonts w:cstheme="minorHAnsi"/>
        </w:rPr>
        <w:t>to have o</w:t>
      </w:r>
      <w:r w:rsidRPr="00BA06F2">
        <w:rPr>
          <w:rFonts w:cstheme="minorHAnsi"/>
        </w:rPr>
        <w:t>nsite visit</w:t>
      </w:r>
      <w:r w:rsidR="00680DEB" w:rsidRPr="00BA06F2">
        <w:rPr>
          <w:rFonts w:cstheme="minorHAnsi"/>
        </w:rPr>
        <w:t>s</w:t>
      </w:r>
      <w:r w:rsidRPr="00BA06F2">
        <w:rPr>
          <w:rFonts w:cstheme="minorHAnsi"/>
        </w:rPr>
        <w:t xml:space="preserve"> </w:t>
      </w:r>
      <w:r w:rsidR="00680DEB" w:rsidRPr="00BA06F2">
        <w:rPr>
          <w:rFonts w:cstheme="minorHAnsi"/>
        </w:rPr>
        <w:t xml:space="preserve">conducted </w:t>
      </w:r>
      <w:r w:rsidRPr="00BA06F2">
        <w:rPr>
          <w:rFonts w:cstheme="minorHAnsi"/>
        </w:rPr>
        <w:t>by August 1</w:t>
      </w:r>
      <w:r w:rsidR="002A0424" w:rsidRPr="00BA06F2">
        <w:rPr>
          <w:rFonts w:cstheme="minorHAnsi"/>
        </w:rPr>
        <w:t>9</w:t>
      </w:r>
      <w:r w:rsidRPr="00BA06F2">
        <w:rPr>
          <w:rFonts w:cstheme="minorHAnsi"/>
        </w:rPr>
        <w:t>, 2014.</w:t>
      </w:r>
    </w:p>
    <w:p w:rsidR="00BD5756" w:rsidRPr="00BA06F2" w:rsidRDefault="002D488B" w:rsidP="00DB7272">
      <w:pPr>
        <w:spacing w:after="0" w:line="240" w:lineRule="auto"/>
        <w:jc w:val="center"/>
        <w:rPr>
          <w:rFonts w:cstheme="minorHAnsi"/>
          <w:b/>
        </w:rPr>
      </w:pPr>
      <w:r w:rsidRPr="00BA06F2">
        <w:rPr>
          <w:b/>
        </w:rPr>
        <w:t xml:space="preserve">2014 </w:t>
      </w:r>
      <w:r w:rsidR="00921468" w:rsidRPr="00BA06F2">
        <w:rPr>
          <w:b/>
        </w:rPr>
        <w:t xml:space="preserve">DOJ Certified </w:t>
      </w:r>
      <w:r w:rsidRPr="00BA06F2">
        <w:rPr>
          <w:b/>
        </w:rPr>
        <w:t>Audit</w:t>
      </w:r>
      <w:r w:rsidR="00921468" w:rsidRPr="00BA06F2">
        <w:rPr>
          <w:b/>
        </w:rPr>
        <w:t>ors</w:t>
      </w:r>
      <w:r w:rsidRPr="00BA06F2">
        <w:rPr>
          <w:b/>
        </w:rPr>
        <w:t xml:space="preserve"> Schedule</w:t>
      </w:r>
    </w:p>
    <w:tbl>
      <w:tblPr>
        <w:tblStyle w:val="TableGrid"/>
        <w:tblpPr w:leftFromText="180" w:rightFromText="180" w:vertAnchor="text" w:horzAnchor="margin" w:tblpX="-342" w:tblpY="74"/>
        <w:tblW w:w="10908" w:type="dxa"/>
        <w:tblLayout w:type="fixed"/>
        <w:tblLook w:val="04A0" w:firstRow="1" w:lastRow="0" w:firstColumn="1" w:lastColumn="0" w:noHBand="0" w:noVBand="1"/>
      </w:tblPr>
      <w:tblGrid>
        <w:gridCol w:w="2610"/>
        <w:gridCol w:w="1800"/>
        <w:gridCol w:w="2520"/>
        <w:gridCol w:w="1440"/>
        <w:gridCol w:w="1260"/>
        <w:gridCol w:w="1278"/>
      </w:tblGrid>
      <w:tr w:rsidR="00F106FF" w:rsidRPr="00BA06F2" w:rsidTr="003D1D42">
        <w:tc>
          <w:tcPr>
            <w:tcW w:w="2610" w:type="dxa"/>
            <w:shd w:val="clear" w:color="auto" w:fill="D9D9D9" w:themeFill="background1" w:themeFillShade="D9"/>
          </w:tcPr>
          <w:p w:rsidR="00F106FF" w:rsidRPr="00BA06F2" w:rsidRDefault="00F106FF" w:rsidP="003D1D42">
            <w:pPr>
              <w:rPr>
                <w:b/>
                <w:sz w:val="20"/>
                <w:szCs w:val="20"/>
              </w:rPr>
            </w:pPr>
            <w:r w:rsidRPr="00BA06F2">
              <w:rPr>
                <w:b/>
                <w:sz w:val="20"/>
                <w:szCs w:val="20"/>
              </w:rPr>
              <w:t>RYDC</w:t>
            </w:r>
          </w:p>
        </w:tc>
        <w:tc>
          <w:tcPr>
            <w:tcW w:w="1800" w:type="dxa"/>
            <w:shd w:val="clear" w:color="auto" w:fill="D9D9D9" w:themeFill="background1" w:themeFillShade="D9"/>
          </w:tcPr>
          <w:p w:rsidR="00F106FF" w:rsidRPr="00BA06F2" w:rsidRDefault="00F106FF" w:rsidP="003D1D42">
            <w:pPr>
              <w:rPr>
                <w:b/>
                <w:sz w:val="20"/>
                <w:szCs w:val="20"/>
              </w:rPr>
            </w:pPr>
            <w:r w:rsidRPr="00BA06F2">
              <w:rPr>
                <w:b/>
                <w:sz w:val="20"/>
                <w:szCs w:val="20"/>
              </w:rPr>
              <w:t>Bed</w:t>
            </w:r>
          </w:p>
        </w:tc>
        <w:tc>
          <w:tcPr>
            <w:tcW w:w="2520" w:type="dxa"/>
            <w:shd w:val="clear" w:color="auto" w:fill="D9D9D9" w:themeFill="background1" w:themeFillShade="D9"/>
          </w:tcPr>
          <w:p w:rsidR="00F106FF" w:rsidRPr="00BA06F2" w:rsidRDefault="00F106FF" w:rsidP="003D1D42">
            <w:pPr>
              <w:rPr>
                <w:b/>
                <w:sz w:val="20"/>
                <w:szCs w:val="20"/>
              </w:rPr>
            </w:pPr>
            <w:r w:rsidRPr="00BA06F2">
              <w:rPr>
                <w:b/>
                <w:sz w:val="20"/>
                <w:szCs w:val="20"/>
              </w:rPr>
              <w:t>Address</w:t>
            </w:r>
          </w:p>
        </w:tc>
        <w:tc>
          <w:tcPr>
            <w:tcW w:w="1440" w:type="dxa"/>
            <w:shd w:val="clear" w:color="auto" w:fill="D9D9D9" w:themeFill="background1" w:themeFillShade="D9"/>
          </w:tcPr>
          <w:p w:rsidR="00F106FF" w:rsidRPr="00BA06F2" w:rsidRDefault="00F106FF" w:rsidP="003D1D42">
            <w:pPr>
              <w:rPr>
                <w:b/>
                <w:sz w:val="20"/>
                <w:szCs w:val="20"/>
              </w:rPr>
            </w:pPr>
            <w:r w:rsidRPr="00BA06F2">
              <w:rPr>
                <w:b/>
                <w:sz w:val="20"/>
                <w:szCs w:val="20"/>
              </w:rPr>
              <w:t>Post Audit Notice</w:t>
            </w:r>
          </w:p>
        </w:tc>
        <w:tc>
          <w:tcPr>
            <w:tcW w:w="1260" w:type="dxa"/>
            <w:shd w:val="clear" w:color="auto" w:fill="D9D9D9" w:themeFill="background1" w:themeFillShade="D9"/>
          </w:tcPr>
          <w:p w:rsidR="00F106FF" w:rsidRPr="00BA06F2" w:rsidRDefault="00F106FF" w:rsidP="003D1D42">
            <w:pPr>
              <w:rPr>
                <w:b/>
                <w:sz w:val="20"/>
                <w:szCs w:val="20"/>
              </w:rPr>
            </w:pPr>
            <w:r w:rsidRPr="00BA06F2">
              <w:rPr>
                <w:b/>
                <w:sz w:val="20"/>
                <w:szCs w:val="20"/>
              </w:rPr>
              <w:t>DOJ Pre-Audit</w:t>
            </w:r>
          </w:p>
        </w:tc>
        <w:tc>
          <w:tcPr>
            <w:tcW w:w="1278" w:type="dxa"/>
            <w:shd w:val="clear" w:color="auto" w:fill="D9D9D9" w:themeFill="background1" w:themeFillShade="D9"/>
          </w:tcPr>
          <w:p w:rsidR="00F106FF" w:rsidRPr="00BA06F2" w:rsidRDefault="00F106FF" w:rsidP="003D1D42">
            <w:pPr>
              <w:rPr>
                <w:b/>
                <w:sz w:val="20"/>
                <w:szCs w:val="20"/>
              </w:rPr>
            </w:pPr>
            <w:r w:rsidRPr="00BA06F2">
              <w:rPr>
                <w:b/>
                <w:sz w:val="20"/>
                <w:szCs w:val="20"/>
              </w:rPr>
              <w:t>On-Site Audit – DOJ</w:t>
            </w:r>
          </w:p>
        </w:tc>
      </w:tr>
      <w:tr w:rsidR="00F106FF" w:rsidRPr="00BA06F2" w:rsidTr="003D1D42">
        <w:tc>
          <w:tcPr>
            <w:tcW w:w="2610" w:type="dxa"/>
          </w:tcPr>
          <w:p w:rsidR="00F106FF" w:rsidRPr="00BA06F2" w:rsidRDefault="00F106FF" w:rsidP="003D1D42">
            <w:pPr>
              <w:rPr>
                <w:sz w:val="20"/>
                <w:szCs w:val="20"/>
              </w:rPr>
            </w:pPr>
            <w:r w:rsidRPr="00BA06F2">
              <w:rPr>
                <w:sz w:val="20"/>
                <w:szCs w:val="20"/>
              </w:rPr>
              <w:t>Elbert Shaw RYDC (Dalton)</w:t>
            </w:r>
          </w:p>
        </w:tc>
        <w:tc>
          <w:tcPr>
            <w:tcW w:w="1800" w:type="dxa"/>
          </w:tcPr>
          <w:p w:rsidR="00F106FF" w:rsidRPr="00BA06F2" w:rsidRDefault="00F106FF" w:rsidP="003D1D42">
            <w:pPr>
              <w:jc w:val="center"/>
              <w:rPr>
                <w:sz w:val="20"/>
                <w:szCs w:val="20"/>
              </w:rPr>
            </w:pPr>
            <w:r w:rsidRPr="00BA06F2">
              <w:rPr>
                <w:sz w:val="20"/>
                <w:szCs w:val="20"/>
              </w:rPr>
              <w:t>30 Beds</w:t>
            </w:r>
          </w:p>
          <w:p w:rsidR="00F106FF" w:rsidRPr="00BA06F2" w:rsidRDefault="00F106FF" w:rsidP="003D1D42">
            <w:pPr>
              <w:rPr>
                <w:sz w:val="20"/>
                <w:szCs w:val="20"/>
              </w:rPr>
            </w:pPr>
            <w:r w:rsidRPr="00BA06F2">
              <w:rPr>
                <w:sz w:val="20"/>
                <w:szCs w:val="20"/>
              </w:rPr>
              <w:t>22-M \8-F</w:t>
            </w:r>
          </w:p>
        </w:tc>
        <w:tc>
          <w:tcPr>
            <w:tcW w:w="2520" w:type="dxa"/>
          </w:tcPr>
          <w:p w:rsidR="00F106FF" w:rsidRPr="00BA06F2" w:rsidRDefault="00F106FF" w:rsidP="003D1D42">
            <w:pPr>
              <w:rPr>
                <w:sz w:val="16"/>
                <w:szCs w:val="16"/>
              </w:rPr>
            </w:pPr>
            <w:r w:rsidRPr="00BA06F2">
              <w:rPr>
                <w:sz w:val="16"/>
                <w:szCs w:val="16"/>
              </w:rPr>
              <w:t>(Located in Whitfield County)</w:t>
            </w:r>
          </w:p>
          <w:p w:rsidR="00F106FF" w:rsidRPr="00BA06F2" w:rsidRDefault="00F106FF" w:rsidP="003D1D42">
            <w:pPr>
              <w:rPr>
                <w:sz w:val="16"/>
                <w:szCs w:val="16"/>
              </w:rPr>
            </w:pPr>
            <w:r w:rsidRPr="00BA06F2">
              <w:rPr>
                <w:sz w:val="16"/>
                <w:szCs w:val="16"/>
              </w:rPr>
              <w:t>2735 Underwood Road, NE.</w:t>
            </w:r>
          </w:p>
          <w:p w:rsidR="00F106FF" w:rsidRPr="00BA06F2" w:rsidRDefault="00F106FF" w:rsidP="003D1D42">
            <w:pPr>
              <w:rPr>
                <w:sz w:val="16"/>
                <w:szCs w:val="16"/>
              </w:rPr>
            </w:pPr>
            <w:r w:rsidRPr="00BA06F2">
              <w:rPr>
                <w:sz w:val="16"/>
                <w:szCs w:val="16"/>
              </w:rPr>
              <w:t>Dalton, Ga. 30721</w:t>
            </w:r>
          </w:p>
        </w:tc>
        <w:tc>
          <w:tcPr>
            <w:tcW w:w="1440" w:type="dxa"/>
          </w:tcPr>
          <w:p w:rsidR="00F106FF" w:rsidRPr="00BA06F2" w:rsidRDefault="00F106FF" w:rsidP="003D1D42">
            <w:pPr>
              <w:rPr>
                <w:sz w:val="20"/>
                <w:szCs w:val="20"/>
              </w:rPr>
            </w:pPr>
            <w:r w:rsidRPr="00BA06F2">
              <w:rPr>
                <w:sz w:val="20"/>
                <w:szCs w:val="20"/>
              </w:rPr>
              <w:t xml:space="preserve">March </w:t>
            </w:r>
            <w:r w:rsidR="008C1C8D" w:rsidRPr="00BA06F2">
              <w:rPr>
                <w:sz w:val="20"/>
                <w:szCs w:val="20"/>
              </w:rPr>
              <w:t>25</w:t>
            </w:r>
          </w:p>
        </w:tc>
        <w:tc>
          <w:tcPr>
            <w:tcW w:w="1260" w:type="dxa"/>
          </w:tcPr>
          <w:p w:rsidR="00F106FF" w:rsidRPr="00BA06F2" w:rsidRDefault="008C1C8D" w:rsidP="003D1D42">
            <w:pPr>
              <w:rPr>
                <w:sz w:val="20"/>
                <w:szCs w:val="20"/>
              </w:rPr>
            </w:pPr>
            <w:r w:rsidRPr="00BA06F2">
              <w:rPr>
                <w:sz w:val="20"/>
                <w:szCs w:val="20"/>
              </w:rPr>
              <w:t>April 5</w:t>
            </w:r>
          </w:p>
        </w:tc>
        <w:tc>
          <w:tcPr>
            <w:tcW w:w="1278" w:type="dxa"/>
          </w:tcPr>
          <w:p w:rsidR="00F106FF" w:rsidRPr="00BA06F2" w:rsidRDefault="00F106FF" w:rsidP="003D1D42">
            <w:pPr>
              <w:rPr>
                <w:sz w:val="20"/>
                <w:szCs w:val="20"/>
              </w:rPr>
            </w:pPr>
            <w:r w:rsidRPr="00BA06F2">
              <w:rPr>
                <w:sz w:val="20"/>
                <w:szCs w:val="20"/>
              </w:rPr>
              <w:t>May 5-6</w:t>
            </w:r>
          </w:p>
          <w:p w:rsidR="00F106FF" w:rsidRPr="00BA06F2" w:rsidRDefault="00F106FF" w:rsidP="003D1D42">
            <w:pPr>
              <w:rPr>
                <w:sz w:val="20"/>
                <w:szCs w:val="20"/>
              </w:rPr>
            </w:pPr>
          </w:p>
        </w:tc>
      </w:tr>
      <w:tr w:rsidR="00F106FF" w:rsidRPr="00BA06F2" w:rsidTr="003D1D42">
        <w:tc>
          <w:tcPr>
            <w:tcW w:w="2610" w:type="dxa"/>
          </w:tcPr>
          <w:p w:rsidR="00F106FF" w:rsidRPr="00BA06F2" w:rsidRDefault="00F106FF" w:rsidP="003D1D42">
            <w:pPr>
              <w:rPr>
                <w:sz w:val="20"/>
                <w:szCs w:val="20"/>
              </w:rPr>
            </w:pPr>
            <w:r w:rsidRPr="00BA06F2">
              <w:rPr>
                <w:sz w:val="20"/>
                <w:szCs w:val="20"/>
              </w:rPr>
              <w:t>Bob Richards RYDC</w:t>
            </w:r>
          </w:p>
        </w:tc>
        <w:tc>
          <w:tcPr>
            <w:tcW w:w="1800" w:type="dxa"/>
          </w:tcPr>
          <w:p w:rsidR="00F106FF" w:rsidRPr="00BA06F2" w:rsidRDefault="00F106FF" w:rsidP="003D1D42">
            <w:pPr>
              <w:jc w:val="center"/>
              <w:rPr>
                <w:sz w:val="20"/>
                <w:szCs w:val="20"/>
              </w:rPr>
            </w:pPr>
            <w:r w:rsidRPr="00BA06F2">
              <w:rPr>
                <w:sz w:val="20"/>
                <w:szCs w:val="20"/>
              </w:rPr>
              <w:t>64 Beds</w:t>
            </w:r>
          </w:p>
          <w:p w:rsidR="00F106FF" w:rsidRPr="00BA06F2" w:rsidRDefault="00F106FF" w:rsidP="003D1D42">
            <w:pPr>
              <w:rPr>
                <w:sz w:val="20"/>
                <w:szCs w:val="20"/>
              </w:rPr>
            </w:pPr>
            <w:r w:rsidRPr="00BA06F2">
              <w:rPr>
                <w:sz w:val="20"/>
                <w:szCs w:val="20"/>
              </w:rPr>
              <w:t>48-M \ 16-F</w:t>
            </w:r>
          </w:p>
        </w:tc>
        <w:tc>
          <w:tcPr>
            <w:tcW w:w="2520" w:type="dxa"/>
          </w:tcPr>
          <w:p w:rsidR="00F106FF" w:rsidRPr="00BA06F2" w:rsidRDefault="00F106FF" w:rsidP="003D1D42">
            <w:pPr>
              <w:rPr>
                <w:sz w:val="16"/>
                <w:szCs w:val="16"/>
              </w:rPr>
            </w:pPr>
            <w:r w:rsidRPr="00BA06F2">
              <w:rPr>
                <w:sz w:val="16"/>
                <w:szCs w:val="16"/>
              </w:rPr>
              <w:t>(Located in Floyd County)</w:t>
            </w:r>
          </w:p>
          <w:p w:rsidR="00F106FF" w:rsidRPr="00BA06F2" w:rsidRDefault="00F106FF" w:rsidP="003D1D42">
            <w:pPr>
              <w:rPr>
                <w:sz w:val="16"/>
                <w:szCs w:val="16"/>
              </w:rPr>
            </w:pPr>
            <w:r w:rsidRPr="00BA06F2">
              <w:rPr>
                <w:sz w:val="16"/>
                <w:szCs w:val="16"/>
              </w:rPr>
              <w:t>200 Marable Way NW</w:t>
            </w:r>
          </w:p>
          <w:p w:rsidR="00F106FF" w:rsidRPr="00BA06F2" w:rsidRDefault="00F106FF" w:rsidP="003D1D42">
            <w:pPr>
              <w:rPr>
                <w:sz w:val="16"/>
                <w:szCs w:val="16"/>
              </w:rPr>
            </w:pPr>
            <w:r w:rsidRPr="00BA06F2">
              <w:rPr>
                <w:sz w:val="16"/>
                <w:szCs w:val="16"/>
              </w:rPr>
              <w:t>Rome, Ga. 30165</w:t>
            </w:r>
          </w:p>
        </w:tc>
        <w:tc>
          <w:tcPr>
            <w:tcW w:w="1440" w:type="dxa"/>
          </w:tcPr>
          <w:p w:rsidR="00F106FF" w:rsidRPr="00BA06F2" w:rsidRDefault="00F106FF" w:rsidP="003D1D42">
            <w:pPr>
              <w:rPr>
                <w:sz w:val="20"/>
                <w:szCs w:val="20"/>
              </w:rPr>
            </w:pPr>
            <w:r w:rsidRPr="00BA06F2">
              <w:rPr>
                <w:sz w:val="20"/>
                <w:szCs w:val="20"/>
              </w:rPr>
              <w:t xml:space="preserve">March </w:t>
            </w:r>
            <w:r w:rsidR="008C1C8D" w:rsidRPr="00BA06F2">
              <w:rPr>
                <w:sz w:val="20"/>
                <w:szCs w:val="20"/>
              </w:rPr>
              <w:t>25</w:t>
            </w:r>
          </w:p>
        </w:tc>
        <w:tc>
          <w:tcPr>
            <w:tcW w:w="1260" w:type="dxa"/>
          </w:tcPr>
          <w:p w:rsidR="00F106FF" w:rsidRPr="00BA06F2" w:rsidRDefault="008C1C8D" w:rsidP="003D1D42">
            <w:pPr>
              <w:rPr>
                <w:sz w:val="20"/>
                <w:szCs w:val="20"/>
              </w:rPr>
            </w:pPr>
            <w:r w:rsidRPr="00BA06F2">
              <w:rPr>
                <w:sz w:val="20"/>
                <w:szCs w:val="20"/>
              </w:rPr>
              <w:t>April 5</w:t>
            </w:r>
          </w:p>
        </w:tc>
        <w:tc>
          <w:tcPr>
            <w:tcW w:w="1278" w:type="dxa"/>
          </w:tcPr>
          <w:p w:rsidR="00F106FF" w:rsidRPr="00BA06F2" w:rsidRDefault="00F106FF" w:rsidP="003D1D42">
            <w:pPr>
              <w:rPr>
                <w:sz w:val="20"/>
                <w:szCs w:val="20"/>
              </w:rPr>
            </w:pPr>
            <w:r w:rsidRPr="00BA06F2">
              <w:rPr>
                <w:sz w:val="20"/>
                <w:szCs w:val="20"/>
              </w:rPr>
              <w:t>May 7-9</w:t>
            </w:r>
          </w:p>
          <w:p w:rsidR="00F106FF" w:rsidRPr="00BA06F2" w:rsidRDefault="00F106FF" w:rsidP="003D1D42">
            <w:pPr>
              <w:rPr>
                <w:sz w:val="20"/>
                <w:szCs w:val="20"/>
              </w:rPr>
            </w:pPr>
          </w:p>
        </w:tc>
      </w:tr>
      <w:tr w:rsidR="00F106FF" w:rsidRPr="00BA06F2" w:rsidTr="003D1D42">
        <w:tc>
          <w:tcPr>
            <w:tcW w:w="2610" w:type="dxa"/>
          </w:tcPr>
          <w:p w:rsidR="00F106FF" w:rsidRPr="00BA06F2" w:rsidRDefault="00F106FF" w:rsidP="003D1D42">
            <w:pPr>
              <w:rPr>
                <w:sz w:val="20"/>
                <w:szCs w:val="20"/>
              </w:rPr>
            </w:pPr>
            <w:r w:rsidRPr="00BA06F2">
              <w:rPr>
                <w:sz w:val="20"/>
                <w:szCs w:val="20"/>
              </w:rPr>
              <w:t>Macon RYDC</w:t>
            </w:r>
          </w:p>
        </w:tc>
        <w:tc>
          <w:tcPr>
            <w:tcW w:w="1800" w:type="dxa"/>
          </w:tcPr>
          <w:p w:rsidR="00F106FF" w:rsidRPr="00BA06F2" w:rsidRDefault="00F106FF" w:rsidP="003D1D42">
            <w:pPr>
              <w:jc w:val="center"/>
              <w:rPr>
                <w:sz w:val="20"/>
                <w:szCs w:val="20"/>
              </w:rPr>
            </w:pPr>
            <w:r w:rsidRPr="00BA06F2">
              <w:rPr>
                <w:sz w:val="20"/>
                <w:szCs w:val="20"/>
              </w:rPr>
              <w:t>64 Beds</w:t>
            </w:r>
          </w:p>
          <w:p w:rsidR="00F106FF" w:rsidRPr="00BA06F2" w:rsidRDefault="00F106FF" w:rsidP="003D1D42">
            <w:pPr>
              <w:rPr>
                <w:sz w:val="20"/>
                <w:szCs w:val="20"/>
              </w:rPr>
            </w:pPr>
            <w:r w:rsidRPr="00BA06F2">
              <w:rPr>
                <w:sz w:val="20"/>
                <w:szCs w:val="20"/>
              </w:rPr>
              <w:t>M</w:t>
            </w:r>
          </w:p>
        </w:tc>
        <w:tc>
          <w:tcPr>
            <w:tcW w:w="2520" w:type="dxa"/>
          </w:tcPr>
          <w:p w:rsidR="00F106FF" w:rsidRPr="00BA06F2" w:rsidRDefault="00F106FF" w:rsidP="003D1D42">
            <w:pPr>
              <w:rPr>
                <w:sz w:val="16"/>
                <w:szCs w:val="16"/>
              </w:rPr>
            </w:pPr>
            <w:r w:rsidRPr="00BA06F2">
              <w:rPr>
                <w:sz w:val="16"/>
                <w:szCs w:val="16"/>
              </w:rPr>
              <w:t>(located in Bibb County)</w:t>
            </w:r>
          </w:p>
          <w:p w:rsidR="00F106FF" w:rsidRPr="00BA06F2" w:rsidRDefault="00F106FF" w:rsidP="003D1D42">
            <w:pPr>
              <w:rPr>
                <w:sz w:val="16"/>
                <w:szCs w:val="16"/>
              </w:rPr>
            </w:pPr>
            <w:r w:rsidRPr="00BA06F2">
              <w:rPr>
                <w:sz w:val="16"/>
                <w:szCs w:val="16"/>
              </w:rPr>
              <w:t>4164 Riggins Mill Road</w:t>
            </w:r>
          </w:p>
          <w:p w:rsidR="00F106FF" w:rsidRPr="00BA06F2" w:rsidRDefault="00F106FF" w:rsidP="003D1D42">
            <w:pPr>
              <w:rPr>
                <w:sz w:val="16"/>
                <w:szCs w:val="16"/>
              </w:rPr>
            </w:pPr>
            <w:r w:rsidRPr="00BA06F2">
              <w:rPr>
                <w:sz w:val="16"/>
                <w:szCs w:val="16"/>
              </w:rPr>
              <w:t>Macon, Ga. 31217-5999</w:t>
            </w:r>
          </w:p>
        </w:tc>
        <w:tc>
          <w:tcPr>
            <w:tcW w:w="1440" w:type="dxa"/>
          </w:tcPr>
          <w:p w:rsidR="00F106FF" w:rsidRPr="00BA06F2" w:rsidRDefault="00F106FF" w:rsidP="003D1D42">
            <w:pPr>
              <w:rPr>
                <w:sz w:val="20"/>
                <w:szCs w:val="20"/>
              </w:rPr>
            </w:pPr>
            <w:r w:rsidRPr="00BA06F2">
              <w:rPr>
                <w:sz w:val="20"/>
                <w:szCs w:val="20"/>
              </w:rPr>
              <w:t xml:space="preserve">March </w:t>
            </w:r>
            <w:r w:rsidR="008C1C8D" w:rsidRPr="00BA06F2">
              <w:rPr>
                <w:sz w:val="20"/>
                <w:szCs w:val="20"/>
              </w:rPr>
              <w:t>28</w:t>
            </w:r>
          </w:p>
        </w:tc>
        <w:tc>
          <w:tcPr>
            <w:tcW w:w="1260" w:type="dxa"/>
          </w:tcPr>
          <w:p w:rsidR="00F106FF" w:rsidRPr="00BA06F2" w:rsidRDefault="00F106FF" w:rsidP="003D1D42">
            <w:pPr>
              <w:rPr>
                <w:sz w:val="20"/>
                <w:szCs w:val="20"/>
              </w:rPr>
            </w:pPr>
            <w:r w:rsidRPr="00BA06F2">
              <w:rPr>
                <w:sz w:val="20"/>
                <w:szCs w:val="20"/>
              </w:rPr>
              <w:t xml:space="preserve">April </w:t>
            </w:r>
            <w:r w:rsidR="008C1C8D" w:rsidRPr="00BA06F2">
              <w:rPr>
                <w:sz w:val="20"/>
                <w:szCs w:val="20"/>
              </w:rPr>
              <w:t>25</w:t>
            </w:r>
          </w:p>
        </w:tc>
        <w:tc>
          <w:tcPr>
            <w:tcW w:w="1278" w:type="dxa"/>
          </w:tcPr>
          <w:p w:rsidR="00F106FF" w:rsidRPr="00BA06F2" w:rsidRDefault="00F106FF" w:rsidP="003D1D42">
            <w:pPr>
              <w:rPr>
                <w:sz w:val="20"/>
                <w:szCs w:val="20"/>
              </w:rPr>
            </w:pPr>
            <w:r w:rsidRPr="00BA06F2">
              <w:rPr>
                <w:sz w:val="20"/>
                <w:szCs w:val="20"/>
              </w:rPr>
              <w:t>May 19-20</w:t>
            </w:r>
          </w:p>
        </w:tc>
      </w:tr>
      <w:tr w:rsidR="00F454E7" w:rsidRPr="00BA06F2" w:rsidTr="003D1D42">
        <w:trPr>
          <w:trHeight w:val="440"/>
        </w:trPr>
        <w:tc>
          <w:tcPr>
            <w:tcW w:w="2610" w:type="dxa"/>
          </w:tcPr>
          <w:p w:rsidR="00F454E7" w:rsidRPr="00BA06F2" w:rsidRDefault="00F454E7" w:rsidP="003D1D42">
            <w:pPr>
              <w:rPr>
                <w:sz w:val="20"/>
                <w:szCs w:val="20"/>
              </w:rPr>
            </w:pPr>
            <w:r w:rsidRPr="00BA06F2">
              <w:rPr>
                <w:sz w:val="20"/>
                <w:szCs w:val="20"/>
              </w:rPr>
              <w:t>Eastman RYDC</w:t>
            </w:r>
          </w:p>
        </w:tc>
        <w:tc>
          <w:tcPr>
            <w:tcW w:w="1800" w:type="dxa"/>
          </w:tcPr>
          <w:p w:rsidR="00F454E7" w:rsidRPr="00BA06F2" w:rsidRDefault="00F454E7" w:rsidP="003D1D42">
            <w:pPr>
              <w:jc w:val="center"/>
              <w:rPr>
                <w:sz w:val="20"/>
                <w:szCs w:val="20"/>
              </w:rPr>
            </w:pPr>
            <w:r w:rsidRPr="00BA06F2">
              <w:rPr>
                <w:sz w:val="20"/>
                <w:szCs w:val="20"/>
              </w:rPr>
              <w:t>30 Beds</w:t>
            </w:r>
          </w:p>
          <w:p w:rsidR="00F454E7" w:rsidRPr="00BA06F2" w:rsidRDefault="00F454E7" w:rsidP="003D1D42">
            <w:pPr>
              <w:rPr>
                <w:sz w:val="20"/>
                <w:szCs w:val="20"/>
              </w:rPr>
            </w:pPr>
            <w:r w:rsidRPr="00BA06F2">
              <w:rPr>
                <w:sz w:val="20"/>
                <w:szCs w:val="20"/>
              </w:rPr>
              <w:t>22-M \ 8-F</w:t>
            </w:r>
          </w:p>
        </w:tc>
        <w:tc>
          <w:tcPr>
            <w:tcW w:w="2520" w:type="dxa"/>
          </w:tcPr>
          <w:p w:rsidR="00F454E7" w:rsidRPr="00BA06F2" w:rsidRDefault="00F454E7" w:rsidP="003D1D42">
            <w:pPr>
              <w:rPr>
                <w:sz w:val="16"/>
                <w:szCs w:val="16"/>
              </w:rPr>
            </w:pPr>
            <w:r w:rsidRPr="00BA06F2">
              <w:rPr>
                <w:sz w:val="16"/>
                <w:szCs w:val="16"/>
              </w:rPr>
              <w:t>(Located in Hall County)</w:t>
            </w:r>
          </w:p>
          <w:p w:rsidR="00F454E7" w:rsidRPr="00BA06F2" w:rsidRDefault="00F454E7" w:rsidP="003D1D42">
            <w:pPr>
              <w:rPr>
                <w:sz w:val="16"/>
                <w:szCs w:val="16"/>
              </w:rPr>
            </w:pPr>
            <w:r w:rsidRPr="00BA06F2">
              <w:rPr>
                <w:sz w:val="16"/>
                <w:szCs w:val="16"/>
              </w:rPr>
              <w:t>181 Industrial Blvd.</w:t>
            </w:r>
          </w:p>
          <w:p w:rsidR="00F454E7" w:rsidRPr="00BA06F2" w:rsidRDefault="00F454E7" w:rsidP="003D1D42">
            <w:pPr>
              <w:rPr>
                <w:sz w:val="16"/>
                <w:szCs w:val="16"/>
              </w:rPr>
            </w:pPr>
            <w:r w:rsidRPr="00BA06F2">
              <w:rPr>
                <w:sz w:val="16"/>
                <w:szCs w:val="16"/>
              </w:rPr>
              <w:t>Eastman, Ga. 31023-7113</w:t>
            </w:r>
          </w:p>
        </w:tc>
        <w:tc>
          <w:tcPr>
            <w:tcW w:w="1440" w:type="dxa"/>
          </w:tcPr>
          <w:p w:rsidR="00F454E7" w:rsidRPr="00BA06F2" w:rsidRDefault="00F454E7" w:rsidP="003D1D42">
            <w:pPr>
              <w:rPr>
                <w:sz w:val="20"/>
                <w:szCs w:val="20"/>
              </w:rPr>
            </w:pPr>
            <w:r w:rsidRPr="00BA06F2">
              <w:rPr>
                <w:sz w:val="20"/>
                <w:szCs w:val="20"/>
              </w:rPr>
              <w:t>April 14</w:t>
            </w:r>
          </w:p>
        </w:tc>
        <w:tc>
          <w:tcPr>
            <w:tcW w:w="1260" w:type="dxa"/>
          </w:tcPr>
          <w:p w:rsidR="00F454E7" w:rsidRPr="00BA06F2" w:rsidRDefault="00F454E7" w:rsidP="003D1D42">
            <w:pPr>
              <w:rPr>
                <w:sz w:val="20"/>
                <w:szCs w:val="20"/>
              </w:rPr>
            </w:pPr>
            <w:r w:rsidRPr="00BA06F2">
              <w:rPr>
                <w:sz w:val="20"/>
                <w:szCs w:val="20"/>
              </w:rPr>
              <w:t>May 16</w:t>
            </w:r>
          </w:p>
        </w:tc>
        <w:tc>
          <w:tcPr>
            <w:tcW w:w="1278" w:type="dxa"/>
          </w:tcPr>
          <w:p w:rsidR="00F454E7" w:rsidRPr="00BA06F2" w:rsidRDefault="00F454E7" w:rsidP="003D1D42">
            <w:pPr>
              <w:rPr>
                <w:sz w:val="20"/>
                <w:szCs w:val="20"/>
              </w:rPr>
            </w:pPr>
            <w:r w:rsidRPr="00BA06F2">
              <w:rPr>
                <w:sz w:val="20"/>
                <w:szCs w:val="20"/>
              </w:rPr>
              <w:t>June 16 - 17</w:t>
            </w:r>
          </w:p>
          <w:p w:rsidR="00F454E7" w:rsidRPr="00BA06F2" w:rsidRDefault="00F454E7" w:rsidP="003D1D42">
            <w:pPr>
              <w:rPr>
                <w:sz w:val="20"/>
                <w:szCs w:val="20"/>
              </w:rPr>
            </w:pPr>
          </w:p>
        </w:tc>
      </w:tr>
      <w:tr w:rsidR="00F454E7" w:rsidRPr="00BA06F2" w:rsidTr="003D1D42">
        <w:tc>
          <w:tcPr>
            <w:tcW w:w="2610" w:type="dxa"/>
          </w:tcPr>
          <w:p w:rsidR="00F454E7" w:rsidRPr="00BA06F2" w:rsidRDefault="00F454E7" w:rsidP="003D1D42">
            <w:pPr>
              <w:rPr>
                <w:sz w:val="20"/>
                <w:szCs w:val="20"/>
              </w:rPr>
            </w:pPr>
            <w:r w:rsidRPr="00BA06F2">
              <w:rPr>
                <w:sz w:val="20"/>
                <w:szCs w:val="20"/>
              </w:rPr>
              <w:t>Claxton RYDC</w:t>
            </w:r>
          </w:p>
        </w:tc>
        <w:tc>
          <w:tcPr>
            <w:tcW w:w="1800" w:type="dxa"/>
          </w:tcPr>
          <w:p w:rsidR="00F454E7" w:rsidRPr="00BA06F2" w:rsidRDefault="00F454E7" w:rsidP="003D1D42">
            <w:pPr>
              <w:jc w:val="center"/>
              <w:rPr>
                <w:sz w:val="20"/>
                <w:szCs w:val="20"/>
              </w:rPr>
            </w:pPr>
            <w:r w:rsidRPr="00BA06F2">
              <w:rPr>
                <w:sz w:val="20"/>
                <w:szCs w:val="20"/>
              </w:rPr>
              <w:t>30 Beds</w:t>
            </w:r>
          </w:p>
          <w:p w:rsidR="00F454E7" w:rsidRPr="00BA06F2" w:rsidRDefault="00F454E7" w:rsidP="003D1D42">
            <w:pPr>
              <w:rPr>
                <w:sz w:val="20"/>
                <w:szCs w:val="20"/>
              </w:rPr>
            </w:pPr>
            <w:r w:rsidRPr="00BA06F2">
              <w:rPr>
                <w:sz w:val="20"/>
                <w:szCs w:val="20"/>
              </w:rPr>
              <w:lastRenderedPageBreak/>
              <w:t>22-M \8-F</w:t>
            </w:r>
          </w:p>
        </w:tc>
        <w:tc>
          <w:tcPr>
            <w:tcW w:w="2520" w:type="dxa"/>
          </w:tcPr>
          <w:p w:rsidR="00F454E7" w:rsidRPr="00BA06F2" w:rsidRDefault="00F454E7" w:rsidP="003D1D42">
            <w:pPr>
              <w:rPr>
                <w:sz w:val="16"/>
                <w:szCs w:val="16"/>
              </w:rPr>
            </w:pPr>
            <w:r w:rsidRPr="00BA06F2">
              <w:rPr>
                <w:sz w:val="16"/>
                <w:szCs w:val="16"/>
              </w:rPr>
              <w:lastRenderedPageBreak/>
              <w:t>(Located in Evans County)</w:t>
            </w:r>
          </w:p>
          <w:p w:rsidR="00F454E7" w:rsidRPr="00BA06F2" w:rsidRDefault="00F454E7" w:rsidP="003D1D42">
            <w:pPr>
              <w:rPr>
                <w:sz w:val="16"/>
                <w:szCs w:val="16"/>
              </w:rPr>
            </w:pPr>
            <w:r w:rsidRPr="00BA06F2">
              <w:rPr>
                <w:sz w:val="16"/>
                <w:szCs w:val="16"/>
              </w:rPr>
              <w:t>3609 Bill Hodges Road</w:t>
            </w:r>
          </w:p>
          <w:p w:rsidR="00F454E7" w:rsidRPr="00BA06F2" w:rsidRDefault="00F454E7" w:rsidP="003D1D42">
            <w:pPr>
              <w:rPr>
                <w:sz w:val="16"/>
                <w:szCs w:val="16"/>
              </w:rPr>
            </w:pPr>
            <w:r w:rsidRPr="00BA06F2">
              <w:rPr>
                <w:sz w:val="16"/>
                <w:szCs w:val="16"/>
              </w:rPr>
              <w:lastRenderedPageBreak/>
              <w:t>Claxton, Ga. 30228</w:t>
            </w:r>
          </w:p>
        </w:tc>
        <w:tc>
          <w:tcPr>
            <w:tcW w:w="1440" w:type="dxa"/>
          </w:tcPr>
          <w:p w:rsidR="00F454E7" w:rsidRPr="00BA06F2" w:rsidRDefault="00F454E7" w:rsidP="003D1D42">
            <w:pPr>
              <w:rPr>
                <w:sz w:val="20"/>
                <w:szCs w:val="20"/>
              </w:rPr>
            </w:pPr>
            <w:r w:rsidRPr="00BA06F2">
              <w:rPr>
                <w:sz w:val="20"/>
                <w:szCs w:val="20"/>
              </w:rPr>
              <w:lastRenderedPageBreak/>
              <w:t>April 14</w:t>
            </w:r>
          </w:p>
        </w:tc>
        <w:tc>
          <w:tcPr>
            <w:tcW w:w="1260" w:type="dxa"/>
          </w:tcPr>
          <w:p w:rsidR="00F454E7" w:rsidRPr="00BA06F2" w:rsidRDefault="00F454E7" w:rsidP="003D1D42">
            <w:pPr>
              <w:rPr>
                <w:sz w:val="20"/>
                <w:szCs w:val="20"/>
              </w:rPr>
            </w:pPr>
            <w:r w:rsidRPr="00BA06F2">
              <w:rPr>
                <w:sz w:val="20"/>
                <w:szCs w:val="20"/>
              </w:rPr>
              <w:t>May 16</w:t>
            </w:r>
          </w:p>
        </w:tc>
        <w:tc>
          <w:tcPr>
            <w:tcW w:w="1278" w:type="dxa"/>
          </w:tcPr>
          <w:p w:rsidR="00F454E7" w:rsidRPr="00BA06F2" w:rsidRDefault="00F454E7" w:rsidP="003D1D42">
            <w:pPr>
              <w:rPr>
                <w:sz w:val="20"/>
                <w:szCs w:val="20"/>
              </w:rPr>
            </w:pPr>
            <w:r w:rsidRPr="00BA06F2">
              <w:rPr>
                <w:sz w:val="20"/>
                <w:szCs w:val="20"/>
              </w:rPr>
              <w:t>June 18 -19</w:t>
            </w:r>
          </w:p>
          <w:p w:rsidR="00F454E7" w:rsidRPr="00BA06F2" w:rsidRDefault="00F454E7" w:rsidP="003D1D42">
            <w:pPr>
              <w:rPr>
                <w:sz w:val="20"/>
                <w:szCs w:val="20"/>
              </w:rPr>
            </w:pPr>
          </w:p>
        </w:tc>
      </w:tr>
      <w:tr w:rsidR="00F454E7" w:rsidRPr="00BA06F2" w:rsidTr="003D1D42">
        <w:tc>
          <w:tcPr>
            <w:tcW w:w="2610" w:type="dxa"/>
            <w:shd w:val="clear" w:color="auto" w:fill="D9D9D9" w:themeFill="background1" w:themeFillShade="D9"/>
          </w:tcPr>
          <w:p w:rsidR="00F454E7" w:rsidRPr="00BA06F2" w:rsidRDefault="00F454E7" w:rsidP="003D1D42">
            <w:pPr>
              <w:rPr>
                <w:b/>
                <w:sz w:val="20"/>
                <w:szCs w:val="20"/>
              </w:rPr>
            </w:pPr>
            <w:r w:rsidRPr="00BA06F2">
              <w:rPr>
                <w:b/>
                <w:sz w:val="20"/>
                <w:szCs w:val="20"/>
              </w:rPr>
              <w:lastRenderedPageBreak/>
              <w:t>YDC</w:t>
            </w:r>
          </w:p>
        </w:tc>
        <w:tc>
          <w:tcPr>
            <w:tcW w:w="1800" w:type="dxa"/>
            <w:shd w:val="clear" w:color="auto" w:fill="D9D9D9" w:themeFill="background1" w:themeFillShade="D9"/>
          </w:tcPr>
          <w:p w:rsidR="00F454E7" w:rsidRPr="00BA06F2" w:rsidRDefault="00F454E7" w:rsidP="003D1D42">
            <w:pPr>
              <w:rPr>
                <w:b/>
                <w:sz w:val="20"/>
                <w:szCs w:val="20"/>
              </w:rPr>
            </w:pPr>
            <w:r w:rsidRPr="00BA06F2">
              <w:rPr>
                <w:b/>
                <w:sz w:val="20"/>
                <w:szCs w:val="20"/>
              </w:rPr>
              <w:t>Bed</w:t>
            </w:r>
          </w:p>
        </w:tc>
        <w:tc>
          <w:tcPr>
            <w:tcW w:w="2520" w:type="dxa"/>
            <w:shd w:val="clear" w:color="auto" w:fill="D9D9D9" w:themeFill="background1" w:themeFillShade="D9"/>
          </w:tcPr>
          <w:p w:rsidR="00F454E7" w:rsidRPr="00BA06F2" w:rsidRDefault="00F454E7" w:rsidP="003D1D42">
            <w:pPr>
              <w:rPr>
                <w:b/>
                <w:sz w:val="20"/>
                <w:szCs w:val="20"/>
              </w:rPr>
            </w:pPr>
            <w:r w:rsidRPr="00BA06F2">
              <w:rPr>
                <w:b/>
                <w:sz w:val="20"/>
                <w:szCs w:val="20"/>
              </w:rPr>
              <w:t>Address</w:t>
            </w:r>
          </w:p>
        </w:tc>
        <w:tc>
          <w:tcPr>
            <w:tcW w:w="1440" w:type="dxa"/>
            <w:shd w:val="clear" w:color="auto" w:fill="D9D9D9" w:themeFill="background1" w:themeFillShade="D9"/>
          </w:tcPr>
          <w:p w:rsidR="00F454E7" w:rsidRPr="00BA06F2" w:rsidRDefault="00F454E7" w:rsidP="003D1D42">
            <w:pPr>
              <w:rPr>
                <w:b/>
                <w:sz w:val="20"/>
                <w:szCs w:val="20"/>
              </w:rPr>
            </w:pPr>
            <w:r w:rsidRPr="00BA06F2">
              <w:rPr>
                <w:b/>
                <w:sz w:val="20"/>
                <w:szCs w:val="20"/>
              </w:rPr>
              <w:t>Post Audit Notice</w:t>
            </w:r>
          </w:p>
        </w:tc>
        <w:tc>
          <w:tcPr>
            <w:tcW w:w="1260" w:type="dxa"/>
            <w:shd w:val="clear" w:color="auto" w:fill="D9D9D9" w:themeFill="background1" w:themeFillShade="D9"/>
          </w:tcPr>
          <w:p w:rsidR="00F454E7" w:rsidRPr="00BA06F2" w:rsidRDefault="00F454E7" w:rsidP="003D1D42">
            <w:pPr>
              <w:rPr>
                <w:b/>
                <w:sz w:val="20"/>
                <w:szCs w:val="20"/>
              </w:rPr>
            </w:pPr>
            <w:r w:rsidRPr="00BA06F2">
              <w:rPr>
                <w:b/>
                <w:sz w:val="20"/>
                <w:szCs w:val="20"/>
              </w:rPr>
              <w:t>DOJ Pre-Audit</w:t>
            </w:r>
          </w:p>
        </w:tc>
        <w:tc>
          <w:tcPr>
            <w:tcW w:w="1278" w:type="dxa"/>
            <w:shd w:val="clear" w:color="auto" w:fill="D9D9D9" w:themeFill="background1" w:themeFillShade="D9"/>
          </w:tcPr>
          <w:p w:rsidR="00F454E7" w:rsidRPr="00BA06F2" w:rsidRDefault="00F454E7" w:rsidP="003D1D42">
            <w:pPr>
              <w:rPr>
                <w:b/>
                <w:sz w:val="20"/>
                <w:szCs w:val="20"/>
              </w:rPr>
            </w:pPr>
            <w:r w:rsidRPr="00BA06F2">
              <w:rPr>
                <w:b/>
                <w:sz w:val="20"/>
                <w:szCs w:val="20"/>
              </w:rPr>
              <w:t>On-Site Audit – DOJ</w:t>
            </w:r>
          </w:p>
        </w:tc>
      </w:tr>
      <w:tr w:rsidR="00F454E7" w:rsidRPr="00BA06F2" w:rsidTr="003D1D42">
        <w:tc>
          <w:tcPr>
            <w:tcW w:w="2610" w:type="dxa"/>
          </w:tcPr>
          <w:p w:rsidR="00F454E7" w:rsidRPr="00BA06F2" w:rsidRDefault="00F454E7" w:rsidP="003D1D42">
            <w:pPr>
              <w:rPr>
                <w:sz w:val="20"/>
                <w:szCs w:val="20"/>
              </w:rPr>
            </w:pPr>
            <w:r w:rsidRPr="00BA06F2">
              <w:rPr>
                <w:sz w:val="20"/>
                <w:szCs w:val="20"/>
              </w:rPr>
              <w:t>Macon YDC</w:t>
            </w:r>
          </w:p>
        </w:tc>
        <w:tc>
          <w:tcPr>
            <w:tcW w:w="1800" w:type="dxa"/>
          </w:tcPr>
          <w:p w:rsidR="00F454E7" w:rsidRPr="00BA06F2" w:rsidRDefault="00F454E7" w:rsidP="003D1D42">
            <w:pPr>
              <w:jc w:val="center"/>
              <w:rPr>
                <w:sz w:val="20"/>
                <w:szCs w:val="20"/>
              </w:rPr>
            </w:pPr>
            <w:r w:rsidRPr="00BA06F2">
              <w:rPr>
                <w:sz w:val="20"/>
                <w:szCs w:val="20"/>
              </w:rPr>
              <w:t>96 Beds</w:t>
            </w:r>
          </w:p>
          <w:p w:rsidR="00F454E7" w:rsidRPr="00BA06F2" w:rsidRDefault="00F454E7" w:rsidP="003D1D42">
            <w:pPr>
              <w:rPr>
                <w:sz w:val="20"/>
                <w:szCs w:val="20"/>
              </w:rPr>
            </w:pPr>
            <w:r w:rsidRPr="00BA06F2">
              <w:rPr>
                <w:sz w:val="20"/>
                <w:szCs w:val="20"/>
              </w:rPr>
              <w:t>Y-72 \ RY-24</w:t>
            </w:r>
          </w:p>
        </w:tc>
        <w:tc>
          <w:tcPr>
            <w:tcW w:w="2520" w:type="dxa"/>
          </w:tcPr>
          <w:p w:rsidR="00F454E7" w:rsidRPr="00BA06F2" w:rsidRDefault="00F454E7" w:rsidP="003D1D42">
            <w:pPr>
              <w:rPr>
                <w:sz w:val="16"/>
                <w:szCs w:val="16"/>
              </w:rPr>
            </w:pPr>
            <w:r w:rsidRPr="00BA06F2">
              <w:rPr>
                <w:sz w:val="16"/>
                <w:szCs w:val="16"/>
              </w:rPr>
              <w:t>(Located in Bibb County)</w:t>
            </w:r>
          </w:p>
          <w:p w:rsidR="00F454E7" w:rsidRPr="00BA06F2" w:rsidRDefault="00F454E7" w:rsidP="003D1D42">
            <w:pPr>
              <w:rPr>
                <w:sz w:val="16"/>
                <w:szCs w:val="16"/>
              </w:rPr>
            </w:pPr>
            <w:r w:rsidRPr="00BA06F2">
              <w:rPr>
                <w:sz w:val="16"/>
                <w:szCs w:val="16"/>
              </w:rPr>
              <w:t>4160 Riggins Mill Road</w:t>
            </w:r>
          </w:p>
          <w:p w:rsidR="00F454E7" w:rsidRPr="00BA06F2" w:rsidRDefault="00F454E7" w:rsidP="003D1D42">
            <w:pPr>
              <w:rPr>
                <w:sz w:val="16"/>
                <w:szCs w:val="16"/>
              </w:rPr>
            </w:pPr>
            <w:r w:rsidRPr="00BA06F2">
              <w:rPr>
                <w:sz w:val="16"/>
                <w:szCs w:val="16"/>
              </w:rPr>
              <w:t>Macon, Ga. 31217-5440</w:t>
            </w:r>
          </w:p>
        </w:tc>
        <w:tc>
          <w:tcPr>
            <w:tcW w:w="1440" w:type="dxa"/>
          </w:tcPr>
          <w:p w:rsidR="00F454E7" w:rsidRPr="00BA06F2" w:rsidRDefault="00F454E7" w:rsidP="003D1D42">
            <w:pPr>
              <w:rPr>
                <w:sz w:val="20"/>
                <w:szCs w:val="20"/>
              </w:rPr>
            </w:pPr>
            <w:r w:rsidRPr="00BA06F2">
              <w:rPr>
                <w:sz w:val="20"/>
                <w:szCs w:val="20"/>
              </w:rPr>
              <w:t>March 28</w:t>
            </w:r>
          </w:p>
        </w:tc>
        <w:tc>
          <w:tcPr>
            <w:tcW w:w="1260" w:type="dxa"/>
          </w:tcPr>
          <w:p w:rsidR="00F454E7" w:rsidRPr="00BA06F2" w:rsidRDefault="00F454E7" w:rsidP="003D1D42">
            <w:pPr>
              <w:rPr>
                <w:sz w:val="20"/>
                <w:szCs w:val="20"/>
              </w:rPr>
            </w:pPr>
            <w:r w:rsidRPr="00BA06F2">
              <w:rPr>
                <w:sz w:val="20"/>
                <w:szCs w:val="20"/>
              </w:rPr>
              <w:t>April 25</w:t>
            </w:r>
          </w:p>
        </w:tc>
        <w:tc>
          <w:tcPr>
            <w:tcW w:w="1278" w:type="dxa"/>
          </w:tcPr>
          <w:p w:rsidR="00F454E7" w:rsidRPr="00BA06F2" w:rsidRDefault="00F454E7" w:rsidP="003D1D42">
            <w:pPr>
              <w:rPr>
                <w:sz w:val="20"/>
                <w:szCs w:val="20"/>
              </w:rPr>
            </w:pPr>
            <w:r w:rsidRPr="00BA06F2">
              <w:rPr>
                <w:sz w:val="20"/>
                <w:szCs w:val="20"/>
              </w:rPr>
              <w:t>May 21-23</w:t>
            </w:r>
          </w:p>
        </w:tc>
      </w:tr>
      <w:tr w:rsidR="00F454E7" w:rsidRPr="00BA06F2" w:rsidTr="003D1D42">
        <w:tc>
          <w:tcPr>
            <w:tcW w:w="2610" w:type="dxa"/>
          </w:tcPr>
          <w:p w:rsidR="00F454E7" w:rsidRPr="00BA06F2" w:rsidRDefault="00F454E7" w:rsidP="003D1D42">
            <w:pPr>
              <w:rPr>
                <w:sz w:val="20"/>
                <w:szCs w:val="20"/>
              </w:rPr>
            </w:pPr>
            <w:r w:rsidRPr="00BA06F2">
              <w:rPr>
                <w:sz w:val="20"/>
                <w:szCs w:val="20"/>
              </w:rPr>
              <w:t>Muscogee YDC</w:t>
            </w:r>
          </w:p>
        </w:tc>
        <w:tc>
          <w:tcPr>
            <w:tcW w:w="1800" w:type="dxa"/>
          </w:tcPr>
          <w:p w:rsidR="00F454E7" w:rsidRPr="00BA06F2" w:rsidRDefault="00F454E7" w:rsidP="003D1D42">
            <w:pPr>
              <w:jc w:val="center"/>
              <w:rPr>
                <w:sz w:val="20"/>
                <w:szCs w:val="20"/>
              </w:rPr>
            </w:pPr>
            <w:r w:rsidRPr="00BA06F2">
              <w:rPr>
                <w:sz w:val="20"/>
                <w:szCs w:val="20"/>
              </w:rPr>
              <w:t>60 Beds</w:t>
            </w:r>
          </w:p>
          <w:p w:rsidR="00F454E7" w:rsidRPr="00BA06F2" w:rsidRDefault="00F454E7" w:rsidP="003D1D42">
            <w:pPr>
              <w:rPr>
                <w:sz w:val="20"/>
                <w:szCs w:val="20"/>
              </w:rPr>
            </w:pPr>
            <w:r w:rsidRPr="00BA06F2">
              <w:rPr>
                <w:sz w:val="20"/>
                <w:szCs w:val="20"/>
              </w:rPr>
              <w:t>M</w:t>
            </w:r>
          </w:p>
        </w:tc>
        <w:tc>
          <w:tcPr>
            <w:tcW w:w="2520" w:type="dxa"/>
          </w:tcPr>
          <w:p w:rsidR="00F454E7" w:rsidRPr="00BA06F2" w:rsidRDefault="00F454E7" w:rsidP="003D1D42">
            <w:pPr>
              <w:rPr>
                <w:sz w:val="16"/>
                <w:szCs w:val="16"/>
              </w:rPr>
            </w:pPr>
            <w:r w:rsidRPr="00BA06F2">
              <w:rPr>
                <w:sz w:val="16"/>
                <w:szCs w:val="16"/>
              </w:rPr>
              <w:t>(Located in Muscogee County)</w:t>
            </w:r>
          </w:p>
          <w:p w:rsidR="00F454E7" w:rsidRPr="00BA06F2" w:rsidRDefault="00F454E7" w:rsidP="003D1D42">
            <w:pPr>
              <w:rPr>
                <w:sz w:val="16"/>
                <w:szCs w:val="16"/>
              </w:rPr>
            </w:pPr>
            <w:r w:rsidRPr="00BA06F2">
              <w:rPr>
                <w:sz w:val="16"/>
                <w:szCs w:val="16"/>
              </w:rPr>
              <w:t xml:space="preserve">7700-A </w:t>
            </w:r>
            <w:proofErr w:type="spellStart"/>
            <w:r w:rsidRPr="00BA06F2">
              <w:rPr>
                <w:sz w:val="16"/>
                <w:szCs w:val="16"/>
              </w:rPr>
              <w:t>Chattsworth</w:t>
            </w:r>
            <w:proofErr w:type="spellEnd"/>
            <w:r w:rsidRPr="00BA06F2">
              <w:rPr>
                <w:sz w:val="16"/>
                <w:szCs w:val="16"/>
              </w:rPr>
              <w:t xml:space="preserve"> Road</w:t>
            </w:r>
          </w:p>
          <w:p w:rsidR="00F454E7" w:rsidRPr="00BA06F2" w:rsidRDefault="00F454E7" w:rsidP="003D1D42">
            <w:pPr>
              <w:rPr>
                <w:sz w:val="16"/>
                <w:szCs w:val="16"/>
              </w:rPr>
            </w:pPr>
            <w:r w:rsidRPr="00BA06F2">
              <w:rPr>
                <w:sz w:val="16"/>
                <w:szCs w:val="16"/>
              </w:rPr>
              <w:t>Midland, Ga. 31820</w:t>
            </w:r>
          </w:p>
        </w:tc>
        <w:tc>
          <w:tcPr>
            <w:tcW w:w="1440" w:type="dxa"/>
          </w:tcPr>
          <w:p w:rsidR="00F454E7" w:rsidRPr="00BA06F2" w:rsidRDefault="00F454E7" w:rsidP="003D1D42">
            <w:pPr>
              <w:rPr>
                <w:sz w:val="20"/>
                <w:szCs w:val="20"/>
              </w:rPr>
            </w:pPr>
            <w:r w:rsidRPr="00BA06F2">
              <w:rPr>
                <w:sz w:val="20"/>
                <w:szCs w:val="20"/>
              </w:rPr>
              <w:t>March 28</w:t>
            </w:r>
          </w:p>
        </w:tc>
        <w:tc>
          <w:tcPr>
            <w:tcW w:w="1260" w:type="dxa"/>
          </w:tcPr>
          <w:p w:rsidR="00F454E7" w:rsidRPr="00BA06F2" w:rsidRDefault="00F454E7" w:rsidP="003D1D42">
            <w:pPr>
              <w:rPr>
                <w:sz w:val="20"/>
                <w:szCs w:val="20"/>
              </w:rPr>
            </w:pPr>
            <w:r w:rsidRPr="00BA06F2">
              <w:rPr>
                <w:sz w:val="20"/>
                <w:szCs w:val="20"/>
              </w:rPr>
              <w:t>May 2</w:t>
            </w:r>
          </w:p>
        </w:tc>
        <w:tc>
          <w:tcPr>
            <w:tcW w:w="1278" w:type="dxa"/>
          </w:tcPr>
          <w:p w:rsidR="00F454E7" w:rsidRPr="00BA06F2" w:rsidRDefault="00F454E7" w:rsidP="003D1D42">
            <w:pPr>
              <w:rPr>
                <w:sz w:val="20"/>
                <w:szCs w:val="20"/>
              </w:rPr>
            </w:pPr>
            <w:r w:rsidRPr="00BA06F2">
              <w:rPr>
                <w:sz w:val="20"/>
                <w:szCs w:val="20"/>
              </w:rPr>
              <w:t>June 4-5</w:t>
            </w:r>
          </w:p>
        </w:tc>
      </w:tr>
      <w:tr w:rsidR="00F454E7" w:rsidRPr="00BA06F2" w:rsidTr="003D1D42">
        <w:tc>
          <w:tcPr>
            <w:tcW w:w="2610" w:type="dxa"/>
          </w:tcPr>
          <w:p w:rsidR="00F454E7" w:rsidRPr="00BA06F2" w:rsidRDefault="00F454E7" w:rsidP="003D1D42">
            <w:pPr>
              <w:rPr>
                <w:sz w:val="20"/>
                <w:szCs w:val="20"/>
              </w:rPr>
            </w:pPr>
            <w:r w:rsidRPr="00BA06F2">
              <w:rPr>
                <w:sz w:val="20"/>
                <w:szCs w:val="20"/>
              </w:rPr>
              <w:t>Crisp RYDC</w:t>
            </w:r>
          </w:p>
          <w:p w:rsidR="002421E2" w:rsidRPr="003D1D42" w:rsidRDefault="002421E2" w:rsidP="003D1D42">
            <w:pPr>
              <w:rPr>
                <w:i/>
                <w:sz w:val="20"/>
                <w:szCs w:val="20"/>
              </w:rPr>
            </w:pPr>
            <w:r w:rsidRPr="003D1D42">
              <w:rPr>
                <w:i/>
                <w:sz w:val="20"/>
                <w:szCs w:val="20"/>
              </w:rPr>
              <w:t>(Private/Contractor)</w:t>
            </w:r>
          </w:p>
        </w:tc>
        <w:tc>
          <w:tcPr>
            <w:tcW w:w="1800" w:type="dxa"/>
          </w:tcPr>
          <w:p w:rsidR="00F454E7" w:rsidRPr="00BA06F2" w:rsidRDefault="00F454E7" w:rsidP="003D1D42">
            <w:pPr>
              <w:jc w:val="center"/>
              <w:rPr>
                <w:sz w:val="20"/>
                <w:szCs w:val="20"/>
              </w:rPr>
            </w:pPr>
            <w:r w:rsidRPr="00BA06F2">
              <w:rPr>
                <w:sz w:val="20"/>
                <w:szCs w:val="20"/>
              </w:rPr>
              <w:t>64 Beds</w:t>
            </w:r>
          </w:p>
          <w:p w:rsidR="00F454E7" w:rsidRPr="00BA06F2" w:rsidRDefault="00F454E7" w:rsidP="003D1D42">
            <w:pPr>
              <w:rPr>
                <w:sz w:val="20"/>
                <w:szCs w:val="20"/>
              </w:rPr>
            </w:pPr>
            <w:r w:rsidRPr="00BA06F2">
              <w:rPr>
                <w:sz w:val="20"/>
                <w:szCs w:val="20"/>
              </w:rPr>
              <w:t>48-M \ 16-F</w:t>
            </w:r>
          </w:p>
        </w:tc>
        <w:tc>
          <w:tcPr>
            <w:tcW w:w="2520" w:type="dxa"/>
          </w:tcPr>
          <w:p w:rsidR="00F454E7" w:rsidRPr="00BA06F2" w:rsidRDefault="00F454E7" w:rsidP="003D1D42">
            <w:pPr>
              <w:rPr>
                <w:sz w:val="16"/>
                <w:szCs w:val="16"/>
              </w:rPr>
            </w:pPr>
            <w:r w:rsidRPr="00BA06F2">
              <w:rPr>
                <w:sz w:val="16"/>
                <w:szCs w:val="16"/>
              </w:rPr>
              <w:t>(Located in Crisp County)</w:t>
            </w:r>
          </w:p>
          <w:p w:rsidR="00F454E7" w:rsidRPr="00BA06F2" w:rsidRDefault="00F454E7" w:rsidP="003D1D42">
            <w:pPr>
              <w:rPr>
                <w:sz w:val="16"/>
                <w:szCs w:val="16"/>
              </w:rPr>
            </w:pPr>
            <w:r w:rsidRPr="00BA06F2">
              <w:rPr>
                <w:sz w:val="16"/>
                <w:szCs w:val="16"/>
              </w:rPr>
              <w:t>130 Rehab Road</w:t>
            </w:r>
          </w:p>
          <w:p w:rsidR="00F454E7" w:rsidRPr="00BA06F2" w:rsidRDefault="00F454E7" w:rsidP="003D1D42">
            <w:pPr>
              <w:rPr>
                <w:sz w:val="16"/>
                <w:szCs w:val="16"/>
              </w:rPr>
            </w:pPr>
            <w:r w:rsidRPr="00BA06F2">
              <w:rPr>
                <w:sz w:val="16"/>
                <w:szCs w:val="16"/>
              </w:rPr>
              <w:t>Cordele, Ga. 31015</w:t>
            </w:r>
          </w:p>
        </w:tc>
        <w:tc>
          <w:tcPr>
            <w:tcW w:w="1440" w:type="dxa"/>
          </w:tcPr>
          <w:p w:rsidR="00F454E7" w:rsidRPr="00BA06F2" w:rsidRDefault="002421E2" w:rsidP="003D1D42">
            <w:pPr>
              <w:rPr>
                <w:sz w:val="20"/>
                <w:szCs w:val="20"/>
              </w:rPr>
            </w:pPr>
            <w:r w:rsidRPr="00BA06F2">
              <w:rPr>
                <w:sz w:val="20"/>
                <w:szCs w:val="20"/>
              </w:rPr>
              <w:t>Open</w:t>
            </w:r>
          </w:p>
        </w:tc>
        <w:tc>
          <w:tcPr>
            <w:tcW w:w="1260" w:type="dxa"/>
          </w:tcPr>
          <w:p w:rsidR="00F454E7" w:rsidRPr="00BA06F2" w:rsidRDefault="002421E2" w:rsidP="003D1D42">
            <w:pPr>
              <w:rPr>
                <w:sz w:val="20"/>
                <w:szCs w:val="20"/>
              </w:rPr>
            </w:pPr>
            <w:r w:rsidRPr="00BA06F2">
              <w:rPr>
                <w:sz w:val="20"/>
                <w:szCs w:val="20"/>
              </w:rPr>
              <w:t>April 18</w:t>
            </w:r>
          </w:p>
        </w:tc>
        <w:tc>
          <w:tcPr>
            <w:tcW w:w="1278" w:type="dxa"/>
          </w:tcPr>
          <w:p w:rsidR="00F454E7" w:rsidRPr="00BA06F2" w:rsidRDefault="002421E2" w:rsidP="003D1D42">
            <w:pPr>
              <w:rPr>
                <w:sz w:val="20"/>
                <w:szCs w:val="20"/>
              </w:rPr>
            </w:pPr>
            <w:r w:rsidRPr="00BA06F2">
              <w:rPr>
                <w:sz w:val="20"/>
                <w:szCs w:val="20"/>
              </w:rPr>
              <w:t>May 26-28</w:t>
            </w:r>
          </w:p>
        </w:tc>
      </w:tr>
    </w:tbl>
    <w:p w:rsidR="00A901CD" w:rsidRPr="00BA06F2" w:rsidRDefault="00A901CD" w:rsidP="00FF0CF5">
      <w:pPr>
        <w:spacing w:after="0" w:line="240" w:lineRule="auto"/>
        <w:jc w:val="both"/>
        <w:rPr>
          <w:rFonts w:cstheme="minorHAnsi"/>
          <w:b/>
          <w:i/>
          <w:sz w:val="16"/>
          <w:szCs w:val="16"/>
        </w:rPr>
      </w:pPr>
    </w:p>
    <w:p w:rsidR="00F20EF9" w:rsidRPr="00BA06F2" w:rsidRDefault="00777F72" w:rsidP="00FF0CF5">
      <w:pPr>
        <w:spacing w:after="0" w:line="240" w:lineRule="auto"/>
        <w:jc w:val="both"/>
        <w:rPr>
          <w:rFonts w:cstheme="minorHAnsi"/>
          <w:b/>
        </w:rPr>
      </w:pPr>
      <w:r w:rsidRPr="00BA06F2">
        <w:rPr>
          <w:rFonts w:cstheme="minorHAnsi"/>
          <w:b/>
        </w:rPr>
        <w:t>Gap Analysis:</w:t>
      </w:r>
    </w:p>
    <w:p w:rsidR="00777F72" w:rsidRPr="00BA06F2" w:rsidRDefault="00777F72" w:rsidP="00FF0CF5">
      <w:pPr>
        <w:spacing w:after="0" w:line="240" w:lineRule="auto"/>
        <w:jc w:val="both"/>
        <w:rPr>
          <w:rFonts w:cstheme="minorHAnsi"/>
          <w:sz w:val="16"/>
          <w:szCs w:val="16"/>
        </w:rPr>
      </w:pPr>
    </w:p>
    <w:p w:rsidR="00777F72" w:rsidRPr="00BA06F2" w:rsidRDefault="00777F72" w:rsidP="00FF0CF5">
      <w:pPr>
        <w:spacing w:after="0" w:line="240" w:lineRule="auto"/>
        <w:jc w:val="both"/>
        <w:rPr>
          <w:rFonts w:cstheme="minorHAnsi"/>
        </w:rPr>
      </w:pPr>
      <w:r w:rsidRPr="00BA06F2">
        <w:rPr>
          <w:rFonts w:cstheme="minorHAnsi"/>
        </w:rPr>
        <w:t xml:space="preserve">The </w:t>
      </w:r>
      <w:r w:rsidR="00DF1610" w:rsidRPr="00BA06F2">
        <w:rPr>
          <w:rFonts w:cstheme="minorHAnsi"/>
        </w:rPr>
        <w:t>fifty (50) Juvenile Facility S</w:t>
      </w:r>
      <w:r w:rsidRPr="00BA06F2">
        <w:rPr>
          <w:rFonts w:cstheme="minorHAnsi"/>
        </w:rPr>
        <w:t>tandards were divided into three-hundred</w:t>
      </w:r>
      <w:r w:rsidR="007E1478" w:rsidRPr="00BA06F2">
        <w:rPr>
          <w:rFonts w:cstheme="minorHAnsi"/>
        </w:rPr>
        <w:t xml:space="preserve"> </w:t>
      </w:r>
      <w:r w:rsidR="009F4982" w:rsidRPr="00BA06F2">
        <w:rPr>
          <w:rFonts w:cstheme="minorHAnsi"/>
        </w:rPr>
        <w:t>and</w:t>
      </w:r>
      <w:r w:rsidRPr="00BA06F2">
        <w:rPr>
          <w:rFonts w:cstheme="minorHAnsi"/>
        </w:rPr>
        <w:t xml:space="preserve"> fifty (350) </w:t>
      </w:r>
      <w:r w:rsidR="00FD5899" w:rsidRPr="00BA06F2">
        <w:rPr>
          <w:rFonts w:cstheme="minorHAnsi"/>
        </w:rPr>
        <w:t>requirements</w:t>
      </w:r>
      <w:r w:rsidRPr="00BA06F2">
        <w:rPr>
          <w:rFonts w:cstheme="minorHAnsi"/>
        </w:rPr>
        <w:t>.</w:t>
      </w:r>
    </w:p>
    <w:p w:rsidR="009566DB" w:rsidRPr="00BA06F2" w:rsidRDefault="009566DB" w:rsidP="00FF0CF5">
      <w:pPr>
        <w:spacing w:after="0" w:line="240" w:lineRule="auto"/>
        <w:jc w:val="both"/>
        <w:rPr>
          <w:rFonts w:cstheme="minorHAnsi"/>
          <w:sz w:val="16"/>
          <w:szCs w:val="16"/>
        </w:rPr>
      </w:pPr>
    </w:p>
    <w:p w:rsidR="00777F72" w:rsidRPr="00BA06F2" w:rsidRDefault="00777F72" w:rsidP="00FF0CF5">
      <w:pPr>
        <w:spacing w:after="0" w:line="240" w:lineRule="auto"/>
        <w:jc w:val="both"/>
        <w:rPr>
          <w:rFonts w:cstheme="minorHAnsi"/>
        </w:rPr>
      </w:pPr>
      <w:r w:rsidRPr="00BA06F2">
        <w:rPr>
          <w:rFonts w:cstheme="minorHAnsi"/>
        </w:rPr>
        <w:t>A Gap Analysis</w:t>
      </w:r>
      <w:r w:rsidR="00A8191F" w:rsidRPr="00BA06F2">
        <w:rPr>
          <w:rFonts w:cstheme="minorHAnsi"/>
        </w:rPr>
        <w:t xml:space="preserve"> was conducted to measure </w:t>
      </w:r>
      <w:r w:rsidR="00DF1610" w:rsidRPr="00BA06F2">
        <w:rPr>
          <w:rFonts w:cstheme="minorHAnsi"/>
        </w:rPr>
        <w:t>Georgia Department of Juvenile Justice compliance</w:t>
      </w:r>
      <w:r w:rsidR="009618E2" w:rsidRPr="00BA06F2">
        <w:rPr>
          <w:rFonts w:cstheme="minorHAnsi"/>
        </w:rPr>
        <w:t xml:space="preserve"> with each </w:t>
      </w:r>
      <w:r w:rsidR="00FD5899" w:rsidRPr="00BA06F2">
        <w:rPr>
          <w:rFonts w:cstheme="minorHAnsi"/>
        </w:rPr>
        <w:t>requirement</w:t>
      </w:r>
      <w:r w:rsidR="00A8191F" w:rsidRPr="00BA06F2">
        <w:rPr>
          <w:rFonts w:cstheme="minorHAnsi"/>
        </w:rPr>
        <w:t xml:space="preserve">. In conducting the Gap Analysis the agency utilized an instrument titled “Implementing The Prison Rape Elimination Act: </w:t>
      </w:r>
      <w:r w:rsidR="00680DEB" w:rsidRPr="00BA06F2">
        <w:rPr>
          <w:rFonts w:cstheme="minorHAnsi"/>
        </w:rPr>
        <w:t xml:space="preserve"> </w:t>
      </w:r>
      <w:r w:rsidR="00A8191F" w:rsidRPr="00BA06F2">
        <w:rPr>
          <w:rFonts w:cstheme="minorHAnsi"/>
        </w:rPr>
        <w:t>A Toolkit for Juvenile Agencies and Facilities</w:t>
      </w:r>
      <w:r w:rsidR="00A90DB1" w:rsidRPr="00BA06F2">
        <w:rPr>
          <w:rFonts w:cstheme="minorHAnsi"/>
        </w:rPr>
        <w:t>,</w:t>
      </w:r>
      <w:r w:rsidR="00A8191F" w:rsidRPr="00BA06F2">
        <w:rPr>
          <w:rFonts w:cstheme="minorHAnsi"/>
        </w:rPr>
        <w:t xml:space="preserve">” developed by The Moss Group under a subcontract with The Center for Innovative Public Policies, Inc., with funding from </w:t>
      </w:r>
      <w:r w:rsidR="00680DEB" w:rsidRPr="00BA06F2">
        <w:rPr>
          <w:rFonts w:cstheme="minorHAnsi"/>
        </w:rPr>
        <w:t xml:space="preserve">the </w:t>
      </w:r>
      <w:r w:rsidR="00A8191F" w:rsidRPr="00BA06F2">
        <w:rPr>
          <w:rFonts w:cstheme="minorHAnsi"/>
        </w:rPr>
        <w:t>United State</w:t>
      </w:r>
      <w:r w:rsidR="00680DEB" w:rsidRPr="00BA06F2">
        <w:rPr>
          <w:rFonts w:cstheme="minorHAnsi"/>
        </w:rPr>
        <w:t>s</w:t>
      </w:r>
      <w:r w:rsidR="00A8191F" w:rsidRPr="00BA06F2">
        <w:rPr>
          <w:rFonts w:cstheme="minorHAnsi"/>
        </w:rPr>
        <w:t xml:space="preserve"> Department of Justice Programs, and Bureau of Justice Assistance.</w:t>
      </w:r>
    </w:p>
    <w:p w:rsidR="00A8191F" w:rsidRPr="00BA06F2" w:rsidRDefault="00A8191F" w:rsidP="00FF0CF5">
      <w:pPr>
        <w:spacing w:after="0" w:line="240" w:lineRule="auto"/>
        <w:jc w:val="both"/>
        <w:rPr>
          <w:rFonts w:cstheme="minorHAnsi"/>
          <w:sz w:val="16"/>
          <w:szCs w:val="16"/>
        </w:rPr>
      </w:pPr>
    </w:p>
    <w:p w:rsidR="009566DB" w:rsidRPr="00BA06F2" w:rsidRDefault="00A8191F" w:rsidP="00FF0CF5">
      <w:pPr>
        <w:spacing w:after="0" w:line="240" w:lineRule="auto"/>
        <w:jc w:val="both"/>
        <w:rPr>
          <w:rFonts w:cstheme="minorHAnsi"/>
        </w:rPr>
      </w:pPr>
      <w:r w:rsidRPr="00BA06F2">
        <w:rPr>
          <w:rFonts w:cstheme="minorHAnsi"/>
        </w:rPr>
        <w:t xml:space="preserve">Data from the agency policies, internal PREA audits and </w:t>
      </w:r>
      <w:r w:rsidR="009F4982" w:rsidRPr="00BA06F2">
        <w:rPr>
          <w:rFonts w:cstheme="minorHAnsi"/>
        </w:rPr>
        <w:t>documentation</w:t>
      </w:r>
      <w:r w:rsidR="00AE1146" w:rsidRPr="00BA06F2">
        <w:rPr>
          <w:rFonts w:cstheme="minorHAnsi"/>
        </w:rPr>
        <w:t>/</w:t>
      </w:r>
      <w:r w:rsidRPr="00BA06F2">
        <w:rPr>
          <w:rFonts w:cstheme="minorHAnsi"/>
        </w:rPr>
        <w:t>validation</w:t>
      </w:r>
      <w:r w:rsidR="009F4982" w:rsidRPr="00BA06F2">
        <w:rPr>
          <w:rFonts w:cstheme="minorHAnsi"/>
        </w:rPr>
        <w:t xml:space="preserve"> </w:t>
      </w:r>
      <w:r w:rsidRPr="00BA06F2">
        <w:rPr>
          <w:rFonts w:cstheme="minorHAnsi"/>
        </w:rPr>
        <w:t xml:space="preserve">of practices were used to complete the Toolkit instrument. </w:t>
      </w:r>
      <w:r w:rsidRPr="00BA06F2">
        <w:rPr>
          <w:rFonts w:cstheme="minorHAnsi"/>
          <w:b/>
          <w:i/>
        </w:rPr>
        <w:t xml:space="preserve">Yes </w:t>
      </w:r>
      <w:r w:rsidRPr="00BA06F2">
        <w:rPr>
          <w:rFonts w:cstheme="minorHAnsi"/>
        </w:rPr>
        <w:t>or</w:t>
      </w:r>
      <w:r w:rsidRPr="00BA06F2">
        <w:rPr>
          <w:rFonts w:cstheme="minorHAnsi"/>
          <w:i/>
        </w:rPr>
        <w:t xml:space="preserve"> </w:t>
      </w:r>
      <w:r w:rsidRPr="00BA06F2">
        <w:rPr>
          <w:rFonts w:cstheme="minorHAnsi"/>
          <w:b/>
          <w:i/>
        </w:rPr>
        <w:t>No</w:t>
      </w:r>
      <w:r w:rsidRPr="00BA06F2">
        <w:rPr>
          <w:rFonts w:cstheme="minorHAnsi"/>
          <w:b/>
        </w:rPr>
        <w:t xml:space="preserve"> </w:t>
      </w:r>
      <w:r w:rsidRPr="00BA06F2">
        <w:rPr>
          <w:rFonts w:cstheme="minorHAnsi"/>
        </w:rPr>
        <w:t xml:space="preserve">answers were entered. </w:t>
      </w:r>
      <w:r w:rsidRPr="00BA06F2">
        <w:rPr>
          <w:rFonts w:cstheme="minorHAnsi"/>
          <w:b/>
        </w:rPr>
        <w:t>Yes</w:t>
      </w:r>
      <w:r w:rsidRPr="00BA06F2">
        <w:rPr>
          <w:rFonts w:cstheme="minorHAnsi"/>
        </w:rPr>
        <w:t xml:space="preserve"> answers mea</w:t>
      </w:r>
      <w:r w:rsidR="008A62E6" w:rsidRPr="00BA06F2">
        <w:rPr>
          <w:rFonts w:cstheme="minorHAnsi"/>
        </w:rPr>
        <w:t xml:space="preserve">n that all parts of the </w:t>
      </w:r>
      <w:r w:rsidR="00FD5899" w:rsidRPr="00BA06F2">
        <w:rPr>
          <w:rFonts w:cstheme="minorHAnsi"/>
        </w:rPr>
        <w:t>requirements</w:t>
      </w:r>
      <w:r w:rsidRPr="00BA06F2">
        <w:rPr>
          <w:rFonts w:cstheme="minorHAnsi"/>
        </w:rPr>
        <w:t xml:space="preserve"> were fully implemented</w:t>
      </w:r>
      <w:r w:rsidR="008A62E6" w:rsidRPr="00BA06F2">
        <w:rPr>
          <w:rFonts w:cstheme="minorHAnsi"/>
        </w:rPr>
        <w:t>.</w:t>
      </w:r>
      <w:r w:rsidRPr="00BA06F2">
        <w:rPr>
          <w:rFonts w:cstheme="minorHAnsi"/>
        </w:rPr>
        <w:t xml:space="preserve"> </w:t>
      </w:r>
      <w:r w:rsidRPr="00BA06F2">
        <w:rPr>
          <w:rFonts w:cstheme="minorHAnsi"/>
          <w:b/>
        </w:rPr>
        <w:t xml:space="preserve">No </w:t>
      </w:r>
      <w:r w:rsidRPr="00BA06F2">
        <w:rPr>
          <w:rFonts w:cstheme="minorHAnsi"/>
        </w:rPr>
        <w:t xml:space="preserve">answers mean </w:t>
      </w:r>
      <w:r w:rsidR="008A62E6" w:rsidRPr="00BA06F2">
        <w:rPr>
          <w:rFonts w:cstheme="minorHAnsi"/>
        </w:rPr>
        <w:t xml:space="preserve">that the </w:t>
      </w:r>
      <w:r w:rsidR="00FD5899" w:rsidRPr="00BA06F2">
        <w:rPr>
          <w:rFonts w:cstheme="minorHAnsi"/>
        </w:rPr>
        <w:t>requirement</w:t>
      </w:r>
      <w:r w:rsidR="008A62E6" w:rsidRPr="00BA06F2">
        <w:rPr>
          <w:rFonts w:cstheme="minorHAnsi"/>
        </w:rPr>
        <w:t xml:space="preserve"> is </w:t>
      </w:r>
      <w:r w:rsidR="009566DB" w:rsidRPr="00BA06F2">
        <w:rPr>
          <w:rFonts w:cstheme="minorHAnsi"/>
        </w:rPr>
        <w:t xml:space="preserve">not currently implemented or partially implemented. </w:t>
      </w:r>
    </w:p>
    <w:p w:rsidR="009566DB" w:rsidRPr="00BA06F2" w:rsidRDefault="009566DB" w:rsidP="009566DB">
      <w:pPr>
        <w:spacing w:after="0" w:line="240" w:lineRule="auto"/>
        <w:jc w:val="center"/>
        <w:rPr>
          <w:rFonts w:cstheme="minorHAnsi"/>
          <w:b/>
        </w:rPr>
      </w:pPr>
      <w:r w:rsidRPr="00BA06F2">
        <w:rPr>
          <w:rFonts w:cstheme="minorHAnsi"/>
          <w:b/>
        </w:rPr>
        <w:t>Findings</w:t>
      </w:r>
    </w:p>
    <w:p w:rsidR="009566DB" w:rsidRPr="00BA06F2" w:rsidRDefault="009566DB" w:rsidP="00FF0CF5">
      <w:pPr>
        <w:spacing w:after="0" w:line="240" w:lineRule="auto"/>
        <w:jc w:val="both"/>
        <w:rPr>
          <w:rFonts w:cstheme="minorHAnsi"/>
          <w:sz w:val="16"/>
          <w:szCs w:val="16"/>
        </w:rPr>
      </w:pPr>
    </w:p>
    <w:p w:rsidR="009566DB" w:rsidRPr="00BA06F2" w:rsidRDefault="009566DB" w:rsidP="00E73A16">
      <w:pPr>
        <w:pStyle w:val="ListParagraph"/>
        <w:numPr>
          <w:ilvl w:val="0"/>
          <w:numId w:val="23"/>
        </w:numPr>
        <w:spacing w:after="0" w:line="240" w:lineRule="auto"/>
        <w:rPr>
          <w:rFonts w:cstheme="minorHAnsi"/>
        </w:rPr>
      </w:pPr>
      <w:r w:rsidRPr="00BA06F2">
        <w:rPr>
          <w:rFonts w:cstheme="minorHAnsi"/>
        </w:rPr>
        <w:t xml:space="preserve">Of the </w:t>
      </w:r>
      <w:r w:rsidRPr="00BA06F2">
        <w:rPr>
          <w:rFonts w:cstheme="minorHAnsi"/>
          <w:b/>
        </w:rPr>
        <w:t xml:space="preserve">350 </w:t>
      </w:r>
      <w:r w:rsidR="00FD5899" w:rsidRPr="00BA06F2">
        <w:rPr>
          <w:rFonts w:cstheme="minorHAnsi"/>
        </w:rPr>
        <w:t>requirements</w:t>
      </w:r>
      <w:r w:rsidR="005C639F" w:rsidRPr="00BA06F2">
        <w:rPr>
          <w:rFonts w:cstheme="minorHAnsi"/>
        </w:rPr>
        <w:t xml:space="preserve">, </w:t>
      </w:r>
      <w:r w:rsidR="00F106FF" w:rsidRPr="00BA06F2">
        <w:rPr>
          <w:rFonts w:cstheme="minorHAnsi"/>
          <w:b/>
        </w:rPr>
        <w:t>346</w:t>
      </w:r>
      <w:r w:rsidR="00F106FF" w:rsidRPr="00BA06F2">
        <w:rPr>
          <w:rFonts w:cstheme="minorHAnsi"/>
        </w:rPr>
        <w:t xml:space="preserve"> received </w:t>
      </w:r>
      <w:r w:rsidR="00AE1146" w:rsidRPr="00BA06F2">
        <w:rPr>
          <w:rFonts w:cstheme="minorHAnsi"/>
        </w:rPr>
        <w:t>y</w:t>
      </w:r>
      <w:r w:rsidR="00F106FF" w:rsidRPr="00BA06F2">
        <w:rPr>
          <w:rFonts w:cstheme="minorHAnsi"/>
        </w:rPr>
        <w:t xml:space="preserve">es answers; </w:t>
      </w:r>
      <w:r w:rsidR="00F1384A" w:rsidRPr="00BA06F2">
        <w:rPr>
          <w:rFonts w:cstheme="minorHAnsi"/>
          <w:b/>
        </w:rPr>
        <w:t>3</w:t>
      </w:r>
      <w:r w:rsidR="005C639F" w:rsidRPr="00BA06F2">
        <w:rPr>
          <w:rFonts w:cstheme="minorHAnsi"/>
        </w:rPr>
        <w:t xml:space="preserve"> received no </w:t>
      </w:r>
      <w:r w:rsidR="00AE1146" w:rsidRPr="00BA06F2">
        <w:rPr>
          <w:rFonts w:cstheme="minorHAnsi"/>
        </w:rPr>
        <w:t>answers and</w:t>
      </w:r>
      <w:r w:rsidR="005C639F" w:rsidRPr="00BA06F2">
        <w:rPr>
          <w:rFonts w:cstheme="minorHAnsi"/>
        </w:rPr>
        <w:t xml:space="preserve"> </w:t>
      </w:r>
      <w:r w:rsidR="00AE1146" w:rsidRPr="00BA06F2">
        <w:rPr>
          <w:rFonts w:cstheme="minorHAnsi"/>
          <w:b/>
        </w:rPr>
        <w:t>1</w:t>
      </w:r>
      <w:r w:rsidR="00AE1146" w:rsidRPr="00BA06F2">
        <w:rPr>
          <w:rFonts w:cstheme="minorHAnsi"/>
        </w:rPr>
        <w:t xml:space="preserve"> received not-applicable.</w:t>
      </w:r>
    </w:p>
    <w:p w:rsidR="008A62E6" w:rsidRPr="00BA06F2" w:rsidRDefault="008A62E6" w:rsidP="008A62E6">
      <w:pPr>
        <w:pStyle w:val="ListParagraph"/>
        <w:spacing w:after="0" w:line="240" w:lineRule="auto"/>
        <w:rPr>
          <w:rFonts w:cstheme="minorHAnsi"/>
          <w:sz w:val="16"/>
          <w:szCs w:val="16"/>
        </w:rPr>
      </w:pPr>
    </w:p>
    <w:p w:rsidR="0011425F" w:rsidRPr="00BA06F2" w:rsidRDefault="0011425F" w:rsidP="0011425F">
      <w:pPr>
        <w:spacing w:after="0" w:line="240" w:lineRule="auto"/>
        <w:jc w:val="both"/>
        <w:rPr>
          <w:sz w:val="16"/>
          <w:szCs w:val="16"/>
        </w:rPr>
      </w:pPr>
    </w:p>
    <w:p w:rsidR="00164E4A" w:rsidRDefault="00164E4A" w:rsidP="00B211A1">
      <w:pPr>
        <w:spacing w:after="0" w:line="240" w:lineRule="auto"/>
        <w:jc w:val="center"/>
        <w:rPr>
          <w:rFonts w:ascii="Arial Black" w:hAnsi="Arial Black" w:cstheme="minorHAnsi"/>
        </w:rPr>
      </w:pPr>
    </w:p>
    <w:p w:rsidR="00164E4A" w:rsidRDefault="00164E4A" w:rsidP="00164E4A">
      <w:pPr>
        <w:spacing w:after="0"/>
        <w:jc w:val="center"/>
        <w:rPr>
          <w:rFonts w:ascii="Arial Black" w:hAnsi="Arial Black"/>
          <w:sz w:val="28"/>
          <w:szCs w:val="28"/>
        </w:rPr>
      </w:pPr>
    </w:p>
    <w:p w:rsidR="00164E4A" w:rsidRDefault="00164E4A" w:rsidP="00164E4A">
      <w:pPr>
        <w:spacing w:after="0"/>
        <w:jc w:val="center"/>
        <w:rPr>
          <w:rFonts w:ascii="Arial Black" w:hAnsi="Arial Black"/>
          <w:sz w:val="28"/>
          <w:szCs w:val="28"/>
        </w:rPr>
      </w:pPr>
    </w:p>
    <w:p w:rsidR="00164E4A" w:rsidRDefault="00164E4A" w:rsidP="00164E4A">
      <w:pPr>
        <w:spacing w:after="0"/>
        <w:jc w:val="center"/>
        <w:rPr>
          <w:rFonts w:ascii="Arial Black" w:hAnsi="Arial Black"/>
          <w:sz w:val="28"/>
          <w:szCs w:val="28"/>
        </w:rPr>
      </w:pPr>
    </w:p>
    <w:p w:rsidR="00164E4A" w:rsidRDefault="00164E4A" w:rsidP="00164E4A">
      <w:pPr>
        <w:spacing w:after="0"/>
        <w:jc w:val="center"/>
        <w:rPr>
          <w:rFonts w:ascii="Arial Black" w:hAnsi="Arial Black"/>
          <w:sz w:val="28"/>
          <w:szCs w:val="28"/>
        </w:rPr>
      </w:pPr>
    </w:p>
    <w:p w:rsidR="00164E4A" w:rsidRDefault="00164E4A" w:rsidP="00164E4A">
      <w:pPr>
        <w:spacing w:after="0"/>
        <w:jc w:val="center"/>
        <w:rPr>
          <w:rFonts w:ascii="Arial Black" w:hAnsi="Arial Black"/>
          <w:sz w:val="28"/>
          <w:szCs w:val="28"/>
        </w:rPr>
      </w:pPr>
    </w:p>
    <w:p w:rsidR="00164E4A" w:rsidRDefault="00164E4A" w:rsidP="00164E4A">
      <w:pPr>
        <w:spacing w:after="0"/>
        <w:jc w:val="center"/>
        <w:rPr>
          <w:rFonts w:ascii="Arial Black" w:hAnsi="Arial Black"/>
          <w:sz w:val="28"/>
          <w:szCs w:val="28"/>
        </w:rPr>
      </w:pPr>
    </w:p>
    <w:p w:rsidR="00164E4A" w:rsidRDefault="00164E4A" w:rsidP="00164E4A">
      <w:pPr>
        <w:spacing w:after="0"/>
        <w:jc w:val="center"/>
        <w:rPr>
          <w:rFonts w:ascii="Arial Black" w:hAnsi="Arial Black"/>
          <w:sz w:val="28"/>
          <w:szCs w:val="28"/>
        </w:rPr>
      </w:pPr>
    </w:p>
    <w:p w:rsidR="00164E4A" w:rsidRDefault="00164E4A" w:rsidP="00164E4A">
      <w:pPr>
        <w:spacing w:after="0"/>
        <w:jc w:val="center"/>
        <w:rPr>
          <w:rFonts w:ascii="Arial Black" w:hAnsi="Arial Black"/>
          <w:sz w:val="28"/>
          <w:szCs w:val="28"/>
        </w:rPr>
      </w:pPr>
    </w:p>
    <w:p w:rsidR="00164E4A" w:rsidRDefault="00164E4A" w:rsidP="00164E4A">
      <w:pPr>
        <w:spacing w:after="0"/>
        <w:jc w:val="center"/>
        <w:rPr>
          <w:rFonts w:ascii="Arial Black" w:hAnsi="Arial Black"/>
          <w:sz w:val="28"/>
          <w:szCs w:val="28"/>
        </w:rPr>
      </w:pPr>
    </w:p>
    <w:p w:rsidR="003B5947" w:rsidRDefault="003B5947" w:rsidP="00164E4A">
      <w:pPr>
        <w:spacing w:after="0"/>
        <w:jc w:val="center"/>
        <w:rPr>
          <w:rFonts w:ascii="Arial Black" w:hAnsi="Arial Black"/>
          <w:sz w:val="28"/>
          <w:szCs w:val="28"/>
        </w:rPr>
      </w:pPr>
    </w:p>
    <w:p w:rsidR="003B5947" w:rsidRDefault="003B5947" w:rsidP="00164E4A">
      <w:pPr>
        <w:spacing w:after="0"/>
        <w:jc w:val="center"/>
        <w:rPr>
          <w:rFonts w:ascii="Arial Black" w:hAnsi="Arial Black"/>
          <w:sz w:val="28"/>
          <w:szCs w:val="28"/>
        </w:rPr>
      </w:pPr>
      <w:bookmarkStart w:id="0" w:name="_GoBack"/>
      <w:bookmarkEnd w:id="0"/>
    </w:p>
    <w:p w:rsidR="00A90B6B" w:rsidRDefault="00A90B6B" w:rsidP="00164E4A">
      <w:pPr>
        <w:spacing w:after="0"/>
        <w:jc w:val="center"/>
        <w:rPr>
          <w:rFonts w:ascii="Arial Black" w:hAnsi="Arial Black"/>
        </w:rPr>
      </w:pPr>
    </w:p>
    <w:p w:rsidR="00164E4A" w:rsidRPr="00A90B6B" w:rsidRDefault="00164E4A" w:rsidP="00164E4A">
      <w:pPr>
        <w:spacing w:after="0"/>
        <w:jc w:val="center"/>
        <w:rPr>
          <w:u w:val="single"/>
        </w:rPr>
      </w:pPr>
      <w:r w:rsidRPr="00A90B6B">
        <w:rPr>
          <w:rFonts w:ascii="Arial Black" w:hAnsi="Arial Black"/>
        </w:rPr>
        <w:lastRenderedPageBreak/>
        <w:t xml:space="preserve">2013 Annual PREA COMPSTAT Reported Allegations </w:t>
      </w:r>
    </w:p>
    <w:p w:rsidR="00A90B6B" w:rsidRDefault="00A90B6B" w:rsidP="00164E4A">
      <w:pPr>
        <w:spacing w:after="0"/>
        <w:jc w:val="center"/>
        <w:rPr>
          <w:u w:val="single"/>
        </w:rPr>
      </w:pPr>
    </w:p>
    <w:p w:rsidR="00164E4A" w:rsidRPr="00A90B6B" w:rsidRDefault="00164E4A" w:rsidP="00164E4A">
      <w:pPr>
        <w:spacing w:after="0"/>
        <w:jc w:val="center"/>
        <w:rPr>
          <w:b/>
          <w:i/>
          <w:u w:val="single"/>
        </w:rPr>
      </w:pPr>
      <w:r w:rsidRPr="00A90B6B">
        <w:rPr>
          <w:b/>
          <w:i/>
          <w:u w:val="single"/>
        </w:rPr>
        <w:t>Data Collection: January thru December 2013</w:t>
      </w:r>
    </w:p>
    <w:p w:rsidR="00164E4A" w:rsidRDefault="00164E4A" w:rsidP="00164E4A">
      <w:pPr>
        <w:spacing w:after="0" w:line="240" w:lineRule="auto"/>
        <w:rPr>
          <w:i/>
          <w:sz w:val="16"/>
          <w:szCs w:val="16"/>
        </w:rPr>
      </w:pPr>
    </w:p>
    <w:p w:rsidR="00164E4A" w:rsidRPr="00754DF2" w:rsidRDefault="00164E4A" w:rsidP="00164E4A">
      <w:pPr>
        <w:spacing w:after="0" w:line="240" w:lineRule="auto"/>
        <w:rPr>
          <w:rFonts w:cstheme="minorHAnsi"/>
          <w:b/>
          <w:sz w:val="18"/>
          <w:szCs w:val="18"/>
        </w:rPr>
      </w:pPr>
      <w:r w:rsidRPr="00754DF2">
        <w:rPr>
          <w:rFonts w:cstheme="minorHAnsi"/>
          <w:b/>
          <w:sz w:val="18"/>
          <w:szCs w:val="18"/>
        </w:rPr>
        <w:t>PREA Youth = PY</w:t>
      </w:r>
    </w:p>
    <w:p w:rsidR="00164E4A" w:rsidRPr="00754DF2" w:rsidRDefault="00164E4A" w:rsidP="00164E4A">
      <w:pPr>
        <w:spacing w:after="0" w:line="240" w:lineRule="auto"/>
        <w:rPr>
          <w:rFonts w:cstheme="minorHAnsi"/>
          <w:b/>
          <w:sz w:val="18"/>
          <w:szCs w:val="18"/>
        </w:rPr>
      </w:pPr>
      <w:r w:rsidRPr="00754DF2">
        <w:rPr>
          <w:rFonts w:cstheme="minorHAnsi"/>
          <w:b/>
          <w:sz w:val="18"/>
          <w:szCs w:val="18"/>
        </w:rPr>
        <w:t>PREA Staff = PS</w:t>
      </w:r>
    </w:p>
    <w:p w:rsidR="00164E4A" w:rsidRPr="00754DF2" w:rsidRDefault="00164E4A" w:rsidP="00164E4A">
      <w:pPr>
        <w:pStyle w:val="ListParagraph"/>
        <w:spacing w:line="240" w:lineRule="auto"/>
        <w:jc w:val="center"/>
        <w:rPr>
          <w:rFonts w:ascii="Arial Black" w:hAnsi="Arial Black" w:cstheme="minorHAnsi"/>
          <w:b/>
          <w:sz w:val="20"/>
          <w:szCs w:val="20"/>
        </w:rPr>
      </w:pPr>
      <w:r w:rsidRPr="00754DF2">
        <w:rPr>
          <w:rFonts w:ascii="Arial Black" w:hAnsi="Arial Black" w:cstheme="minorHAnsi"/>
          <w:b/>
          <w:sz w:val="20"/>
          <w:szCs w:val="20"/>
        </w:rPr>
        <w:t>Monthly C</w:t>
      </w:r>
      <w:r>
        <w:rPr>
          <w:rFonts w:ascii="Arial Black" w:hAnsi="Arial Black" w:cstheme="minorHAnsi"/>
          <w:b/>
          <w:sz w:val="20"/>
          <w:szCs w:val="20"/>
        </w:rPr>
        <w:t xml:space="preserve">OMPSTAT </w:t>
      </w:r>
      <w:r w:rsidRPr="00754DF2">
        <w:rPr>
          <w:rFonts w:ascii="Arial Black" w:hAnsi="Arial Black" w:cstheme="minorHAnsi"/>
          <w:b/>
          <w:sz w:val="20"/>
          <w:szCs w:val="20"/>
        </w:rPr>
        <w:t>Report</w:t>
      </w:r>
    </w:p>
    <w:tbl>
      <w:tblPr>
        <w:tblStyle w:val="TableGrid"/>
        <w:tblW w:w="10530" w:type="dxa"/>
        <w:tblInd w:w="-162" w:type="dxa"/>
        <w:tblLook w:val="04A0" w:firstRow="1" w:lastRow="0" w:firstColumn="1" w:lastColumn="0" w:noHBand="0" w:noVBand="1"/>
      </w:tblPr>
      <w:tblGrid>
        <w:gridCol w:w="2970"/>
        <w:gridCol w:w="2700"/>
        <w:gridCol w:w="2070"/>
        <w:gridCol w:w="2790"/>
      </w:tblGrid>
      <w:tr w:rsidR="00164E4A" w:rsidRPr="00486157" w:rsidTr="00A90B6B">
        <w:tc>
          <w:tcPr>
            <w:tcW w:w="2970" w:type="dxa"/>
            <w:tcBorders>
              <w:bottom w:val="single" w:sz="4" w:space="0" w:color="auto"/>
            </w:tcBorders>
            <w:shd w:val="pct10" w:color="auto" w:fill="auto"/>
          </w:tcPr>
          <w:p w:rsidR="00164E4A" w:rsidRPr="001E02D1" w:rsidRDefault="00164E4A" w:rsidP="00164E4A">
            <w:pPr>
              <w:jc w:val="center"/>
              <w:rPr>
                <w:rFonts w:ascii="Arial Black" w:hAnsi="Arial Black"/>
                <w:b/>
                <w:sz w:val="16"/>
                <w:szCs w:val="16"/>
              </w:rPr>
            </w:pPr>
            <w:r>
              <w:rPr>
                <w:rFonts w:ascii="Arial Black" w:hAnsi="Arial Black"/>
                <w:b/>
                <w:sz w:val="16"/>
                <w:szCs w:val="16"/>
              </w:rPr>
              <w:t xml:space="preserve">Reported </w:t>
            </w:r>
            <w:r w:rsidRPr="001E02D1">
              <w:rPr>
                <w:rFonts w:ascii="Arial Black" w:hAnsi="Arial Black"/>
                <w:b/>
                <w:sz w:val="16"/>
                <w:szCs w:val="16"/>
              </w:rPr>
              <w:t xml:space="preserve">PREA </w:t>
            </w:r>
            <w:r>
              <w:rPr>
                <w:rFonts w:ascii="Arial Black" w:hAnsi="Arial Black"/>
                <w:b/>
                <w:sz w:val="16"/>
                <w:szCs w:val="16"/>
              </w:rPr>
              <w:t>Incidents</w:t>
            </w:r>
          </w:p>
        </w:tc>
        <w:tc>
          <w:tcPr>
            <w:tcW w:w="2700" w:type="dxa"/>
            <w:tcBorders>
              <w:bottom w:val="single" w:sz="4" w:space="0" w:color="auto"/>
            </w:tcBorders>
            <w:shd w:val="pct10" w:color="auto" w:fill="auto"/>
          </w:tcPr>
          <w:p w:rsidR="00164E4A" w:rsidRPr="001E02D1" w:rsidRDefault="00164E4A" w:rsidP="00164E4A">
            <w:pPr>
              <w:pStyle w:val="ListParagraph"/>
              <w:ind w:left="0"/>
              <w:jc w:val="center"/>
              <w:rPr>
                <w:rFonts w:ascii="Arial Black" w:hAnsi="Arial Black"/>
                <w:b/>
                <w:sz w:val="16"/>
                <w:szCs w:val="16"/>
              </w:rPr>
            </w:pPr>
            <w:r w:rsidRPr="001E02D1">
              <w:rPr>
                <w:rFonts w:ascii="Arial Black" w:hAnsi="Arial Black"/>
                <w:b/>
                <w:sz w:val="16"/>
                <w:szCs w:val="16"/>
              </w:rPr>
              <w:t>Current Month</w:t>
            </w:r>
          </w:p>
          <w:p w:rsidR="00164E4A" w:rsidRPr="001E02D1" w:rsidRDefault="00164E4A" w:rsidP="00164E4A">
            <w:pPr>
              <w:pStyle w:val="ListParagraph"/>
              <w:ind w:left="0"/>
              <w:jc w:val="center"/>
              <w:rPr>
                <w:rFonts w:ascii="Arial Black" w:hAnsi="Arial Black"/>
                <w:i/>
                <w:sz w:val="16"/>
                <w:szCs w:val="16"/>
              </w:rPr>
            </w:pPr>
            <w:r w:rsidRPr="001E02D1">
              <w:rPr>
                <w:rFonts w:ascii="Arial Black" w:hAnsi="Arial Black"/>
                <w:i/>
                <w:sz w:val="16"/>
                <w:szCs w:val="16"/>
              </w:rPr>
              <w:t>(</w:t>
            </w:r>
            <w:r>
              <w:rPr>
                <w:rFonts w:ascii="Arial Black" w:hAnsi="Arial Black"/>
                <w:i/>
                <w:sz w:val="16"/>
                <w:szCs w:val="16"/>
              </w:rPr>
              <w:t>December 2013</w:t>
            </w:r>
            <w:r w:rsidRPr="001E02D1">
              <w:rPr>
                <w:rFonts w:ascii="Arial Black" w:hAnsi="Arial Black"/>
                <w:i/>
                <w:sz w:val="16"/>
                <w:szCs w:val="16"/>
              </w:rPr>
              <w:t>)</w:t>
            </w:r>
          </w:p>
        </w:tc>
        <w:tc>
          <w:tcPr>
            <w:tcW w:w="2070" w:type="dxa"/>
            <w:tcBorders>
              <w:bottom w:val="single" w:sz="4" w:space="0" w:color="auto"/>
            </w:tcBorders>
            <w:shd w:val="pct10" w:color="auto" w:fill="auto"/>
          </w:tcPr>
          <w:p w:rsidR="00164E4A" w:rsidRPr="001E02D1" w:rsidRDefault="00164E4A" w:rsidP="00164E4A">
            <w:pPr>
              <w:pStyle w:val="ListParagraph"/>
              <w:ind w:left="0"/>
              <w:jc w:val="center"/>
              <w:rPr>
                <w:rFonts w:ascii="Arial Black" w:hAnsi="Arial Black"/>
                <w:b/>
                <w:sz w:val="16"/>
                <w:szCs w:val="16"/>
              </w:rPr>
            </w:pPr>
            <w:r w:rsidRPr="001E02D1">
              <w:rPr>
                <w:rFonts w:ascii="Arial Black" w:hAnsi="Arial Black"/>
                <w:b/>
                <w:sz w:val="16"/>
                <w:szCs w:val="16"/>
              </w:rPr>
              <w:t>FYTD</w:t>
            </w:r>
          </w:p>
          <w:p w:rsidR="00164E4A" w:rsidRPr="001E02D1" w:rsidRDefault="00164E4A" w:rsidP="00164E4A">
            <w:pPr>
              <w:pStyle w:val="ListParagraph"/>
              <w:ind w:left="0"/>
              <w:jc w:val="center"/>
              <w:rPr>
                <w:rFonts w:ascii="Arial Black" w:hAnsi="Arial Black"/>
                <w:i/>
                <w:sz w:val="16"/>
                <w:szCs w:val="16"/>
              </w:rPr>
            </w:pPr>
            <w:r w:rsidRPr="001E02D1">
              <w:rPr>
                <w:rFonts w:ascii="Arial Black" w:hAnsi="Arial Black"/>
                <w:i/>
                <w:sz w:val="16"/>
                <w:szCs w:val="16"/>
              </w:rPr>
              <w:t>(20</w:t>
            </w:r>
            <w:r>
              <w:rPr>
                <w:rFonts w:ascii="Arial Black" w:hAnsi="Arial Black"/>
                <w:i/>
                <w:sz w:val="16"/>
                <w:szCs w:val="16"/>
              </w:rPr>
              <w:t>13</w:t>
            </w:r>
            <w:r w:rsidRPr="001E02D1">
              <w:rPr>
                <w:rFonts w:ascii="Arial Black" w:hAnsi="Arial Black"/>
                <w:i/>
                <w:sz w:val="16"/>
                <w:szCs w:val="16"/>
              </w:rPr>
              <w:t>)</w:t>
            </w:r>
          </w:p>
        </w:tc>
        <w:tc>
          <w:tcPr>
            <w:tcW w:w="2790" w:type="dxa"/>
            <w:tcBorders>
              <w:bottom w:val="single" w:sz="4" w:space="0" w:color="auto"/>
            </w:tcBorders>
            <w:shd w:val="pct10" w:color="auto" w:fill="auto"/>
          </w:tcPr>
          <w:p w:rsidR="00164E4A" w:rsidRPr="004427C5" w:rsidRDefault="00164E4A" w:rsidP="00164E4A">
            <w:pPr>
              <w:pStyle w:val="ListParagraph"/>
              <w:ind w:left="0"/>
              <w:jc w:val="center"/>
              <w:rPr>
                <w:rFonts w:ascii="Arial Black" w:hAnsi="Arial Black"/>
                <w:sz w:val="16"/>
                <w:szCs w:val="16"/>
              </w:rPr>
            </w:pPr>
            <w:r w:rsidRPr="004427C5">
              <w:rPr>
                <w:rFonts w:ascii="Arial Black" w:hAnsi="Arial Black"/>
                <w:sz w:val="16"/>
                <w:szCs w:val="16"/>
              </w:rPr>
              <w:t>Previous Month</w:t>
            </w:r>
          </w:p>
          <w:p w:rsidR="00164E4A" w:rsidRPr="001E02D1" w:rsidRDefault="00164E4A" w:rsidP="00164E4A">
            <w:pPr>
              <w:pStyle w:val="ListParagraph"/>
              <w:ind w:left="0"/>
              <w:jc w:val="center"/>
              <w:rPr>
                <w:rFonts w:ascii="Arial Black" w:hAnsi="Arial Black"/>
                <w:i/>
                <w:sz w:val="16"/>
                <w:szCs w:val="16"/>
              </w:rPr>
            </w:pPr>
            <w:r>
              <w:rPr>
                <w:rFonts w:ascii="Arial Black" w:hAnsi="Arial Black"/>
                <w:i/>
                <w:sz w:val="16"/>
                <w:szCs w:val="16"/>
              </w:rPr>
              <w:t>(November 2013)</w:t>
            </w:r>
          </w:p>
        </w:tc>
      </w:tr>
      <w:tr w:rsidR="00164E4A" w:rsidTr="00A90B6B">
        <w:tc>
          <w:tcPr>
            <w:tcW w:w="2970" w:type="dxa"/>
          </w:tcPr>
          <w:p w:rsidR="00164E4A" w:rsidRPr="00252496" w:rsidRDefault="00164E4A" w:rsidP="00164E4A">
            <w:pPr>
              <w:pStyle w:val="ListParagraph"/>
              <w:ind w:left="0"/>
              <w:rPr>
                <w:sz w:val="18"/>
                <w:szCs w:val="18"/>
              </w:rPr>
            </w:pPr>
            <w:r w:rsidRPr="00252496">
              <w:rPr>
                <w:b/>
                <w:sz w:val="18"/>
                <w:szCs w:val="18"/>
              </w:rPr>
              <w:t xml:space="preserve"> PY1-</w:t>
            </w:r>
            <w:r w:rsidRPr="00252496">
              <w:rPr>
                <w:sz w:val="18"/>
                <w:szCs w:val="18"/>
              </w:rPr>
              <w:t xml:space="preserve"> Unwanted Penetration</w:t>
            </w:r>
          </w:p>
        </w:tc>
        <w:tc>
          <w:tcPr>
            <w:tcW w:w="2700" w:type="dxa"/>
          </w:tcPr>
          <w:p w:rsidR="00164E4A" w:rsidRPr="00CC50C0" w:rsidRDefault="00164E4A" w:rsidP="00164E4A">
            <w:pPr>
              <w:jc w:val="center"/>
              <w:rPr>
                <w:b/>
                <w:sz w:val="16"/>
                <w:szCs w:val="16"/>
              </w:rPr>
            </w:pPr>
            <w:r>
              <w:rPr>
                <w:b/>
                <w:sz w:val="16"/>
                <w:szCs w:val="16"/>
              </w:rPr>
              <w:t>1</w:t>
            </w:r>
          </w:p>
        </w:tc>
        <w:tc>
          <w:tcPr>
            <w:tcW w:w="2070" w:type="dxa"/>
            <w:shd w:val="pct10" w:color="auto" w:fill="auto"/>
          </w:tcPr>
          <w:p w:rsidR="00164E4A" w:rsidRPr="001E02D1" w:rsidRDefault="00164E4A" w:rsidP="00164E4A">
            <w:pPr>
              <w:jc w:val="center"/>
              <w:rPr>
                <w:rFonts w:ascii="Arial Black" w:hAnsi="Arial Black"/>
                <w:sz w:val="16"/>
                <w:szCs w:val="16"/>
              </w:rPr>
            </w:pPr>
            <w:r>
              <w:rPr>
                <w:rFonts w:ascii="Arial Black" w:hAnsi="Arial Black"/>
                <w:sz w:val="16"/>
                <w:szCs w:val="16"/>
              </w:rPr>
              <w:t>26</w:t>
            </w:r>
          </w:p>
        </w:tc>
        <w:tc>
          <w:tcPr>
            <w:tcW w:w="2790" w:type="dxa"/>
          </w:tcPr>
          <w:p w:rsidR="00164E4A" w:rsidRPr="00CC50C0" w:rsidRDefault="00164E4A" w:rsidP="00164E4A">
            <w:pPr>
              <w:jc w:val="center"/>
              <w:rPr>
                <w:b/>
                <w:sz w:val="16"/>
                <w:szCs w:val="16"/>
              </w:rPr>
            </w:pPr>
            <w:r>
              <w:rPr>
                <w:b/>
                <w:sz w:val="16"/>
                <w:szCs w:val="16"/>
              </w:rPr>
              <w:t>1</w:t>
            </w:r>
          </w:p>
        </w:tc>
      </w:tr>
      <w:tr w:rsidR="00164E4A" w:rsidTr="00A90B6B">
        <w:tc>
          <w:tcPr>
            <w:tcW w:w="2970" w:type="dxa"/>
          </w:tcPr>
          <w:p w:rsidR="00164E4A" w:rsidRPr="00252496" w:rsidRDefault="00164E4A" w:rsidP="00164E4A">
            <w:pPr>
              <w:pStyle w:val="ListParagraph"/>
              <w:ind w:left="0"/>
              <w:rPr>
                <w:sz w:val="18"/>
                <w:szCs w:val="18"/>
              </w:rPr>
            </w:pPr>
            <w:r w:rsidRPr="00252496">
              <w:rPr>
                <w:b/>
                <w:sz w:val="18"/>
                <w:szCs w:val="18"/>
              </w:rPr>
              <w:t xml:space="preserve"> PY2</w:t>
            </w:r>
            <w:r w:rsidRPr="00252496">
              <w:rPr>
                <w:sz w:val="18"/>
                <w:szCs w:val="18"/>
              </w:rPr>
              <w:t>-Unwanted Touching</w:t>
            </w:r>
          </w:p>
        </w:tc>
        <w:tc>
          <w:tcPr>
            <w:tcW w:w="2700" w:type="dxa"/>
          </w:tcPr>
          <w:p w:rsidR="00164E4A" w:rsidRPr="00CC50C0" w:rsidRDefault="00164E4A" w:rsidP="00164E4A">
            <w:pPr>
              <w:jc w:val="center"/>
              <w:rPr>
                <w:b/>
                <w:sz w:val="16"/>
                <w:szCs w:val="16"/>
              </w:rPr>
            </w:pPr>
            <w:r>
              <w:rPr>
                <w:b/>
                <w:sz w:val="16"/>
                <w:szCs w:val="16"/>
              </w:rPr>
              <w:t>1</w:t>
            </w:r>
          </w:p>
        </w:tc>
        <w:tc>
          <w:tcPr>
            <w:tcW w:w="2070" w:type="dxa"/>
            <w:shd w:val="pct10" w:color="auto" w:fill="auto"/>
          </w:tcPr>
          <w:p w:rsidR="00164E4A" w:rsidRPr="001E02D1" w:rsidRDefault="00164E4A" w:rsidP="00164E4A">
            <w:pPr>
              <w:jc w:val="center"/>
              <w:rPr>
                <w:rFonts w:ascii="Arial Black" w:hAnsi="Arial Black"/>
                <w:sz w:val="16"/>
                <w:szCs w:val="16"/>
              </w:rPr>
            </w:pPr>
            <w:r>
              <w:rPr>
                <w:rFonts w:ascii="Arial Black" w:hAnsi="Arial Black"/>
                <w:sz w:val="16"/>
                <w:szCs w:val="16"/>
              </w:rPr>
              <w:t>50</w:t>
            </w:r>
          </w:p>
        </w:tc>
        <w:tc>
          <w:tcPr>
            <w:tcW w:w="2790" w:type="dxa"/>
          </w:tcPr>
          <w:p w:rsidR="00164E4A" w:rsidRPr="00CC50C0" w:rsidRDefault="00164E4A" w:rsidP="00164E4A">
            <w:pPr>
              <w:jc w:val="center"/>
              <w:rPr>
                <w:b/>
                <w:sz w:val="16"/>
                <w:szCs w:val="16"/>
              </w:rPr>
            </w:pPr>
            <w:r>
              <w:rPr>
                <w:b/>
                <w:sz w:val="16"/>
                <w:szCs w:val="16"/>
              </w:rPr>
              <w:t>3</w:t>
            </w:r>
          </w:p>
        </w:tc>
      </w:tr>
      <w:tr w:rsidR="00164E4A" w:rsidTr="00A90B6B">
        <w:tc>
          <w:tcPr>
            <w:tcW w:w="2970" w:type="dxa"/>
          </w:tcPr>
          <w:p w:rsidR="00164E4A" w:rsidRPr="00252496" w:rsidRDefault="00164E4A" w:rsidP="00164E4A">
            <w:pPr>
              <w:pStyle w:val="ListParagraph"/>
              <w:ind w:left="0"/>
              <w:rPr>
                <w:sz w:val="18"/>
                <w:szCs w:val="18"/>
              </w:rPr>
            </w:pPr>
            <w:r w:rsidRPr="00252496">
              <w:rPr>
                <w:sz w:val="18"/>
                <w:szCs w:val="18"/>
              </w:rPr>
              <w:t xml:space="preserve"> </w:t>
            </w:r>
            <w:r w:rsidRPr="00252496">
              <w:rPr>
                <w:b/>
                <w:sz w:val="18"/>
                <w:szCs w:val="18"/>
              </w:rPr>
              <w:t>PY3</w:t>
            </w:r>
            <w:r w:rsidRPr="00252496">
              <w:rPr>
                <w:sz w:val="18"/>
                <w:szCs w:val="18"/>
              </w:rPr>
              <w:t>- Harassment</w:t>
            </w:r>
          </w:p>
        </w:tc>
        <w:tc>
          <w:tcPr>
            <w:tcW w:w="2700" w:type="dxa"/>
          </w:tcPr>
          <w:p w:rsidR="00164E4A" w:rsidRPr="00CC50C0" w:rsidRDefault="00164E4A" w:rsidP="00164E4A">
            <w:pPr>
              <w:jc w:val="center"/>
              <w:rPr>
                <w:b/>
                <w:sz w:val="16"/>
                <w:szCs w:val="16"/>
              </w:rPr>
            </w:pPr>
            <w:r>
              <w:rPr>
                <w:b/>
                <w:sz w:val="16"/>
                <w:szCs w:val="16"/>
              </w:rPr>
              <w:t>4</w:t>
            </w:r>
          </w:p>
        </w:tc>
        <w:tc>
          <w:tcPr>
            <w:tcW w:w="2070" w:type="dxa"/>
            <w:shd w:val="pct10" w:color="auto" w:fill="auto"/>
          </w:tcPr>
          <w:p w:rsidR="00164E4A" w:rsidRPr="001E02D1" w:rsidRDefault="00164E4A" w:rsidP="00164E4A">
            <w:pPr>
              <w:jc w:val="center"/>
              <w:rPr>
                <w:rFonts w:ascii="Arial Black" w:hAnsi="Arial Black"/>
                <w:sz w:val="16"/>
                <w:szCs w:val="16"/>
              </w:rPr>
            </w:pPr>
            <w:r>
              <w:rPr>
                <w:rFonts w:ascii="Arial Black" w:hAnsi="Arial Black"/>
                <w:sz w:val="16"/>
                <w:szCs w:val="16"/>
              </w:rPr>
              <w:t>64</w:t>
            </w:r>
          </w:p>
        </w:tc>
        <w:tc>
          <w:tcPr>
            <w:tcW w:w="2790" w:type="dxa"/>
          </w:tcPr>
          <w:p w:rsidR="00164E4A" w:rsidRPr="00CC50C0" w:rsidRDefault="00164E4A" w:rsidP="00164E4A">
            <w:pPr>
              <w:jc w:val="center"/>
              <w:rPr>
                <w:b/>
                <w:sz w:val="16"/>
                <w:szCs w:val="16"/>
              </w:rPr>
            </w:pPr>
            <w:r>
              <w:rPr>
                <w:b/>
                <w:sz w:val="16"/>
                <w:szCs w:val="16"/>
              </w:rPr>
              <w:t>7</w:t>
            </w:r>
          </w:p>
        </w:tc>
      </w:tr>
      <w:tr w:rsidR="00164E4A" w:rsidTr="00A90B6B">
        <w:tc>
          <w:tcPr>
            <w:tcW w:w="2970" w:type="dxa"/>
          </w:tcPr>
          <w:p w:rsidR="00164E4A" w:rsidRPr="00252496" w:rsidRDefault="00164E4A" w:rsidP="00164E4A">
            <w:pPr>
              <w:pStyle w:val="ListParagraph"/>
              <w:ind w:left="0"/>
              <w:rPr>
                <w:sz w:val="18"/>
                <w:szCs w:val="18"/>
              </w:rPr>
            </w:pPr>
            <w:r w:rsidRPr="00252496">
              <w:rPr>
                <w:sz w:val="18"/>
                <w:szCs w:val="18"/>
              </w:rPr>
              <w:t xml:space="preserve"> </w:t>
            </w:r>
            <w:r w:rsidRPr="00252496">
              <w:rPr>
                <w:b/>
                <w:sz w:val="18"/>
                <w:szCs w:val="18"/>
              </w:rPr>
              <w:t>PS1</w:t>
            </w:r>
            <w:r w:rsidRPr="00252496">
              <w:rPr>
                <w:sz w:val="18"/>
                <w:szCs w:val="18"/>
              </w:rPr>
              <w:t>- Sexual Penetration</w:t>
            </w:r>
          </w:p>
        </w:tc>
        <w:tc>
          <w:tcPr>
            <w:tcW w:w="2700" w:type="dxa"/>
          </w:tcPr>
          <w:p w:rsidR="00164E4A" w:rsidRPr="00CC50C0" w:rsidRDefault="00164E4A" w:rsidP="00164E4A">
            <w:pPr>
              <w:jc w:val="center"/>
              <w:rPr>
                <w:b/>
                <w:sz w:val="16"/>
                <w:szCs w:val="16"/>
              </w:rPr>
            </w:pPr>
            <w:r>
              <w:rPr>
                <w:b/>
                <w:sz w:val="16"/>
                <w:szCs w:val="16"/>
              </w:rPr>
              <w:t>2</w:t>
            </w:r>
          </w:p>
        </w:tc>
        <w:tc>
          <w:tcPr>
            <w:tcW w:w="2070" w:type="dxa"/>
            <w:shd w:val="pct10" w:color="auto" w:fill="auto"/>
          </w:tcPr>
          <w:p w:rsidR="00164E4A" w:rsidRPr="001E02D1" w:rsidRDefault="00164E4A" w:rsidP="00164E4A">
            <w:pPr>
              <w:jc w:val="center"/>
              <w:rPr>
                <w:rFonts w:ascii="Arial Black" w:hAnsi="Arial Black"/>
                <w:sz w:val="16"/>
                <w:szCs w:val="16"/>
              </w:rPr>
            </w:pPr>
            <w:r>
              <w:rPr>
                <w:rFonts w:ascii="Arial Black" w:hAnsi="Arial Black"/>
                <w:sz w:val="16"/>
                <w:szCs w:val="16"/>
              </w:rPr>
              <w:t>14</w:t>
            </w:r>
          </w:p>
        </w:tc>
        <w:tc>
          <w:tcPr>
            <w:tcW w:w="2790" w:type="dxa"/>
          </w:tcPr>
          <w:p w:rsidR="00164E4A" w:rsidRPr="00CC50C0" w:rsidRDefault="00164E4A" w:rsidP="00164E4A">
            <w:pPr>
              <w:jc w:val="center"/>
              <w:rPr>
                <w:b/>
                <w:sz w:val="16"/>
                <w:szCs w:val="16"/>
              </w:rPr>
            </w:pPr>
            <w:r>
              <w:rPr>
                <w:b/>
                <w:sz w:val="16"/>
                <w:szCs w:val="16"/>
              </w:rPr>
              <w:t>0</w:t>
            </w:r>
          </w:p>
        </w:tc>
      </w:tr>
      <w:tr w:rsidR="00164E4A" w:rsidTr="00A90B6B">
        <w:tc>
          <w:tcPr>
            <w:tcW w:w="2970" w:type="dxa"/>
          </w:tcPr>
          <w:p w:rsidR="00164E4A" w:rsidRPr="00252496" w:rsidRDefault="00164E4A" w:rsidP="00164E4A">
            <w:pPr>
              <w:pStyle w:val="ListParagraph"/>
              <w:ind w:left="0"/>
              <w:rPr>
                <w:sz w:val="18"/>
                <w:szCs w:val="18"/>
              </w:rPr>
            </w:pPr>
            <w:r w:rsidRPr="00252496">
              <w:rPr>
                <w:sz w:val="18"/>
                <w:szCs w:val="18"/>
              </w:rPr>
              <w:t xml:space="preserve"> </w:t>
            </w:r>
            <w:r w:rsidRPr="00252496">
              <w:rPr>
                <w:b/>
                <w:sz w:val="18"/>
                <w:szCs w:val="18"/>
              </w:rPr>
              <w:t>PS2</w:t>
            </w:r>
            <w:r w:rsidRPr="00252496">
              <w:rPr>
                <w:sz w:val="18"/>
                <w:szCs w:val="18"/>
              </w:rPr>
              <w:t>- Non Penetration (Touching)</w:t>
            </w:r>
          </w:p>
        </w:tc>
        <w:tc>
          <w:tcPr>
            <w:tcW w:w="2700" w:type="dxa"/>
          </w:tcPr>
          <w:p w:rsidR="00164E4A" w:rsidRPr="00CC50C0" w:rsidRDefault="00164E4A" w:rsidP="00164E4A">
            <w:pPr>
              <w:jc w:val="center"/>
              <w:rPr>
                <w:b/>
                <w:sz w:val="16"/>
                <w:szCs w:val="16"/>
              </w:rPr>
            </w:pPr>
            <w:r>
              <w:rPr>
                <w:b/>
                <w:sz w:val="16"/>
                <w:szCs w:val="16"/>
              </w:rPr>
              <w:t>0</w:t>
            </w:r>
          </w:p>
        </w:tc>
        <w:tc>
          <w:tcPr>
            <w:tcW w:w="2070" w:type="dxa"/>
            <w:shd w:val="pct10" w:color="auto" w:fill="auto"/>
          </w:tcPr>
          <w:p w:rsidR="00164E4A" w:rsidRPr="001E02D1" w:rsidRDefault="00164E4A" w:rsidP="00164E4A">
            <w:pPr>
              <w:jc w:val="center"/>
              <w:rPr>
                <w:rFonts w:ascii="Arial Black" w:hAnsi="Arial Black"/>
                <w:sz w:val="16"/>
                <w:szCs w:val="16"/>
              </w:rPr>
            </w:pPr>
            <w:r>
              <w:rPr>
                <w:rFonts w:ascii="Arial Black" w:hAnsi="Arial Black"/>
                <w:sz w:val="16"/>
                <w:szCs w:val="16"/>
              </w:rPr>
              <w:t>19</w:t>
            </w:r>
          </w:p>
        </w:tc>
        <w:tc>
          <w:tcPr>
            <w:tcW w:w="2790" w:type="dxa"/>
          </w:tcPr>
          <w:p w:rsidR="00164E4A" w:rsidRPr="00CC50C0" w:rsidRDefault="00164E4A" w:rsidP="00164E4A">
            <w:pPr>
              <w:jc w:val="center"/>
              <w:rPr>
                <w:b/>
                <w:sz w:val="16"/>
                <w:szCs w:val="16"/>
              </w:rPr>
            </w:pPr>
            <w:r>
              <w:rPr>
                <w:b/>
                <w:sz w:val="16"/>
                <w:szCs w:val="16"/>
              </w:rPr>
              <w:t>4</w:t>
            </w:r>
          </w:p>
        </w:tc>
      </w:tr>
      <w:tr w:rsidR="00164E4A" w:rsidTr="00A90B6B">
        <w:tc>
          <w:tcPr>
            <w:tcW w:w="2970" w:type="dxa"/>
          </w:tcPr>
          <w:p w:rsidR="00164E4A" w:rsidRPr="00252496" w:rsidRDefault="00164E4A" w:rsidP="00164E4A">
            <w:pPr>
              <w:pStyle w:val="ListParagraph"/>
              <w:ind w:left="0"/>
              <w:rPr>
                <w:sz w:val="18"/>
                <w:szCs w:val="18"/>
              </w:rPr>
            </w:pPr>
            <w:r w:rsidRPr="00252496">
              <w:rPr>
                <w:sz w:val="18"/>
                <w:szCs w:val="18"/>
              </w:rPr>
              <w:t xml:space="preserve"> </w:t>
            </w:r>
            <w:r w:rsidRPr="00252496">
              <w:rPr>
                <w:b/>
                <w:sz w:val="18"/>
                <w:szCs w:val="18"/>
              </w:rPr>
              <w:t>PS3</w:t>
            </w:r>
            <w:r w:rsidRPr="00252496">
              <w:rPr>
                <w:sz w:val="18"/>
                <w:szCs w:val="18"/>
              </w:rPr>
              <w:t>- Indecent Exposure</w:t>
            </w:r>
          </w:p>
        </w:tc>
        <w:tc>
          <w:tcPr>
            <w:tcW w:w="2700" w:type="dxa"/>
          </w:tcPr>
          <w:p w:rsidR="00164E4A" w:rsidRPr="00CC50C0" w:rsidRDefault="00164E4A" w:rsidP="00164E4A">
            <w:pPr>
              <w:jc w:val="center"/>
              <w:rPr>
                <w:b/>
                <w:sz w:val="16"/>
                <w:szCs w:val="16"/>
              </w:rPr>
            </w:pPr>
            <w:r>
              <w:rPr>
                <w:b/>
                <w:sz w:val="16"/>
                <w:szCs w:val="16"/>
              </w:rPr>
              <w:t>0</w:t>
            </w:r>
          </w:p>
        </w:tc>
        <w:tc>
          <w:tcPr>
            <w:tcW w:w="2070" w:type="dxa"/>
            <w:shd w:val="pct10" w:color="auto" w:fill="auto"/>
          </w:tcPr>
          <w:p w:rsidR="00164E4A" w:rsidRPr="001E02D1" w:rsidRDefault="00164E4A" w:rsidP="00164E4A">
            <w:pPr>
              <w:jc w:val="center"/>
              <w:rPr>
                <w:rFonts w:ascii="Arial Black" w:hAnsi="Arial Black"/>
                <w:sz w:val="16"/>
                <w:szCs w:val="16"/>
              </w:rPr>
            </w:pPr>
            <w:r>
              <w:rPr>
                <w:rFonts w:ascii="Arial Black" w:hAnsi="Arial Black"/>
                <w:sz w:val="16"/>
                <w:szCs w:val="16"/>
              </w:rPr>
              <w:t>2</w:t>
            </w:r>
          </w:p>
        </w:tc>
        <w:tc>
          <w:tcPr>
            <w:tcW w:w="2790" w:type="dxa"/>
          </w:tcPr>
          <w:p w:rsidR="00164E4A" w:rsidRPr="00CC50C0" w:rsidRDefault="00164E4A" w:rsidP="00164E4A">
            <w:pPr>
              <w:jc w:val="center"/>
              <w:rPr>
                <w:b/>
                <w:sz w:val="16"/>
                <w:szCs w:val="16"/>
              </w:rPr>
            </w:pPr>
            <w:r>
              <w:rPr>
                <w:b/>
                <w:sz w:val="16"/>
                <w:szCs w:val="16"/>
              </w:rPr>
              <w:t>0</w:t>
            </w:r>
          </w:p>
        </w:tc>
      </w:tr>
      <w:tr w:rsidR="00164E4A" w:rsidTr="00A90B6B">
        <w:tc>
          <w:tcPr>
            <w:tcW w:w="2970" w:type="dxa"/>
            <w:tcBorders>
              <w:bottom w:val="single" w:sz="4" w:space="0" w:color="auto"/>
            </w:tcBorders>
          </w:tcPr>
          <w:p w:rsidR="00164E4A" w:rsidRPr="00252496" w:rsidRDefault="00164E4A" w:rsidP="00164E4A">
            <w:pPr>
              <w:pStyle w:val="ListParagraph"/>
              <w:ind w:left="0"/>
              <w:rPr>
                <w:sz w:val="18"/>
                <w:szCs w:val="18"/>
              </w:rPr>
            </w:pPr>
            <w:r w:rsidRPr="00252496">
              <w:rPr>
                <w:sz w:val="18"/>
                <w:szCs w:val="18"/>
              </w:rPr>
              <w:t xml:space="preserve"> </w:t>
            </w:r>
            <w:r w:rsidRPr="00252496">
              <w:rPr>
                <w:b/>
                <w:sz w:val="18"/>
                <w:szCs w:val="18"/>
              </w:rPr>
              <w:t>PS4</w:t>
            </w:r>
            <w:r w:rsidRPr="00252496">
              <w:rPr>
                <w:sz w:val="18"/>
                <w:szCs w:val="18"/>
              </w:rPr>
              <w:t>- Harassment/Voyeurism</w:t>
            </w:r>
          </w:p>
        </w:tc>
        <w:tc>
          <w:tcPr>
            <w:tcW w:w="2700" w:type="dxa"/>
            <w:tcBorders>
              <w:bottom w:val="single" w:sz="4" w:space="0" w:color="auto"/>
            </w:tcBorders>
          </w:tcPr>
          <w:p w:rsidR="00164E4A" w:rsidRPr="00CC50C0" w:rsidRDefault="00164E4A" w:rsidP="00164E4A">
            <w:pPr>
              <w:jc w:val="center"/>
              <w:rPr>
                <w:b/>
                <w:sz w:val="16"/>
                <w:szCs w:val="16"/>
              </w:rPr>
            </w:pPr>
            <w:r>
              <w:rPr>
                <w:b/>
                <w:sz w:val="16"/>
                <w:szCs w:val="16"/>
              </w:rPr>
              <w:t>1</w:t>
            </w:r>
          </w:p>
        </w:tc>
        <w:tc>
          <w:tcPr>
            <w:tcW w:w="2070" w:type="dxa"/>
            <w:tcBorders>
              <w:bottom w:val="single" w:sz="4" w:space="0" w:color="auto"/>
            </w:tcBorders>
            <w:shd w:val="pct10" w:color="auto" w:fill="auto"/>
          </w:tcPr>
          <w:p w:rsidR="00164E4A" w:rsidRPr="001E02D1" w:rsidRDefault="00164E4A" w:rsidP="00164E4A">
            <w:pPr>
              <w:jc w:val="center"/>
              <w:rPr>
                <w:rFonts w:ascii="Arial Black" w:hAnsi="Arial Black"/>
                <w:sz w:val="16"/>
                <w:szCs w:val="16"/>
              </w:rPr>
            </w:pPr>
            <w:r>
              <w:rPr>
                <w:rFonts w:ascii="Arial Black" w:hAnsi="Arial Black"/>
                <w:sz w:val="16"/>
                <w:szCs w:val="16"/>
              </w:rPr>
              <w:t>22</w:t>
            </w:r>
          </w:p>
        </w:tc>
        <w:tc>
          <w:tcPr>
            <w:tcW w:w="2790" w:type="dxa"/>
            <w:tcBorders>
              <w:bottom w:val="single" w:sz="4" w:space="0" w:color="auto"/>
            </w:tcBorders>
          </w:tcPr>
          <w:p w:rsidR="00164E4A" w:rsidRPr="00CC50C0" w:rsidRDefault="00164E4A" w:rsidP="00164E4A">
            <w:pPr>
              <w:jc w:val="center"/>
              <w:rPr>
                <w:b/>
                <w:sz w:val="16"/>
                <w:szCs w:val="16"/>
              </w:rPr>
            </w:pPr>
            <w:r>
              <w:rPr>
                <w:b/>
                <w:sz w:val="16"/>
                <w:szCs w:val="16"/>
              </w:rPr>
              <w:t>2</w:t>
            </w:r>
          </w:p>
        </w:tc>
      </w:tr>
      <w:tr w:rsidR="00164E4A" w:rsidRPr="00A61485" w:rsidTr="00A90B6B">
        <w:tc>
          <w:tcPr>
            <w:tcW w:w="2970" w:type="dxa"/>
            <w:tcBorders>
              <w:bottom w:val="single" w:sz="4" w:space="0" w:color="auto"/>
            </w:tcBorders>
            <w:shd w:val="pct10" w:color="auto" w:fill="auto"/>
          </w:tcPr>
          <w:p w:rsidR="00164E4A" w:rsidRPr="001E02D1" w:rsidRDefault="00164E4A" w:rsidP="00164E4A">
            <w:pPr>
              <w:pStyle w:val="ListParagraph"/>
              <w:ind w:left="0"/>
              <w:jc w:val="center"/>
              <w:rPr>
                <w:rFonts w:ascii="Arial Black" w:hAnsi="Arial Black"/>
                <w:b/>
                <w:sz w:val="16"/>
                <w:szCs w:val="16"/>
              </w:rPr>
            </w:pPr>
            <w:r w:rsidRPr="001E02D1">
              <w:rPr>
                <w:rFonts w:ascii="Arial Black" w:hAnsi="Arial Black"/>
                <w:b/>
                <w:sz w:val="16"/>
                <w:szCs w:val="16"/>
              </w:rPr>
              <w:t xml:space="preserve">Total </w:t>
            </w:r>
            <w:r>
              <w:rPr>
                <w:rFonts w:ascii="Arial Black" w:hAnsi="Arial Black"/>
                <w:b/>
                <w:sz w:val="16"/>
                <w:szCs w:val="16"/>
              </w:rPr>
              <w:t>Incidents</w:t>
            </w:r>
          </w:p>
        </w:tc>
        <w:tc>
          <w:tcPr>
            <w:tcW w:w="2700" w:type="dxa"/>
            <w:tcBorders>
              <w:bottom w:val="single" w:sz="4" w:space="0" w:color="auto"/>
            </w:tcBorders>
            <w:shd w:val="pct10" w:color="auto" w:fill="auto"/>
          </w:tcPr>
          <w:p w:rsidR="00164E4A" w:rsidRPr="00F8359F" w:rsidRDefault="00164E4A" w:rsidP="00164E4A">
            <w:pPr>
              <w:jc w:val="center"/>
              <w:rPr>
                <w:rFonts w:ascii="Arial Black" w:hAnsi="Arial Black"/>
                <w:sz w:val="16"/>
                <w:szCs w:val="16"/>
              </w:rPr>
            </w:pPr>
            <w:r>
              <w:rPr>
                <w:rFonts w:ascii="Arial Black" w:hAnsi="Arial Black"/>
                <w:sz w:val="16"/>
                <w:szCs w:val="16"/>
              </w:rPr>
              <w:t>9</w:t>
            </w:r>
          </w:p>
        </w:tc>
        <w:tc>
          <w:tcPr>
            <w:tcW w:w="2070" w:type="dxa"/>
            <w:tcBorders>
              <w:bottom w:val="single" w:sz="4" w:space="0" w:color="auto"/>
            </w:tcBorders>
            <w:shd w:val="pct10" w:color="auto" w:fill="auto"/>
          </w:tcPr>
          <w:p w:rsidR="00164E4A" w:rsidRPr="001E02D1" w:rsidRDefault="00164E4A" w:rsidP="00164E4A">
            <w:pPr>
              <w:pStyle w:val="ListParagraph"/>
              <w:ind w:left="0"/>
              <w:jc w:val="center"/>
              <w:rPr>
                <w:rFonts w:ascii="Arial Black" w:hAnsi="Arial Black"/>
                <w:b/>
                <w:sz w:val="16"/>
                <w:szCs w:val="16"/>
              </w:rPr>
            </w:pPr>
            <w:r>
              <w:rPr>
                <w:rFonts w:ascii="Arial Black" w:hAnsi="Arial Black"/>
                <w:b/>
                <w:sz w:val="16"/>
                <w:szCs w:val="16"/>
              </w:rPr>
              <w:t>197</w:t>
            </w:r>
          </w:p>
        </w:tc>
        <w:tc>
          <w:tcPr>
            <w:tcW w:w="2790" w:type="dxa"/>
            <w:tcBorders>
              <w:bottom w:val="single" w:sz="4" w:space="0" w:color="auto"/>
            </w:tcBorders>
            <w:shd w:val="pct10" w:color="auto" w:fill="auto"/>
          </w:tcPr>
          <w:p w:rsidR="00164E4A" w:rsidRPr="00F8359F" w:rsidRDefault="00164E4A" w:rsidP="00164E4A">
            <w:pPr>
              <w:jc w:val="center"/>
              <w:rPr>
                <w:rFonts w:ascii="Arial Black" w:hAnsi="Arial Black"/>
                <w:sz w:val="16"/>
                <w:szCs w:val="16"/>
              </w:rPr>
            </w:pPr>
            <w:r>
              <w:rPr>
                <w:rFonts w:ascii="Arial Black" w:hAnsi="Arial Black"/>
                <w:sz w:val="16"/>
                <w:szCs w:val="16"/>
              </w:rPr>
              <w:t>17</w:t>
            </w:r>
          </w:p>
        </w:tc>
      </w:tr>
    </w:tbl>
    <w:p w:rsidR="00164E4A" w:rsidRPr="00197BA8" w:rsidRDefault="00164E4A" w:rsidP="00164E4A">
      <w:pPr>
        <w:spacing w:after="0" w:line="240" w:lineRule="auto"/>
        <w:jc w:val="center"/>
        <w:rPr>
          <w:b/>
          <w:sz w:val="16"/>
          <w:szCs w:val="16"/>
        </w:rPr>
      </w:pPr>
    </w:p>
    <w:p w:rsidR="00A90B6B" w:rsidRDefault="00A90B6B" w:rsidP="00164E4A">
      <w:pPr>
        <w:spacing w:after="0" w:line="240" w:lineRule="auto"/>
        <w:jc w:val="center"/>
        <w:rPr>
          <w:rFonts w:ascii="Arial Black" w:hAnsi="Arial Black" w:cs="Calibri"/>
          <w:b/>
          <w:i/>
          <w:sz w:val="16"/>
          <w:szCs w:val="16"/>
        </w:rPr>
      </w:pPr>
    </w:p>
    <w:p w:rsidR="00164E4A" w:rsidRDefault="00164E4A" w:rsidP="00164E4A">
      <w:pPr>
        <w:spacing w:after="0" w:line="240" w:lineRule="auto"/>
        <w:jc w:val="center"/>
        <w:rPr>
          <w:rFonts w:ascii="Arial Black" w:hAnsi="Arial Black" w:cs="Calibri"/>
          <w:b/>
          <w:i/>
          <w:sz w:val="16"/>
          <w:szCs w:val="16"/>
        </w:rPr>
      </w:pPr>
      <w:r w:rsidRPr="00CF5C47">
        <w:rPr>
          <w:rFonts w:ascii="Arial Black" w:hAnsi="Arial Black" w:cs="Calibri"/>
          <w:b/>
          <w:i/>
          <w:sz w:val="16"/>
          <w:szCs w:val="16"/>
        </w:rPr>
        <w:t>(Secure Facilities &amp; Community</w:t>
      </w:r>
      <w:r>
        <w:rPr>
          <w:rFonts w:ascii="Arial Black" w:hAnsi="Arial Black" w:cs="Calibri"/>
          <w:b/>
          <w:i/>
          <w:sz w:val="16"/>
          <w:szCs w:val="16"/>
        </w:rPr>
        <w:t xml:space="preserve"> – </w:t>
      </w:r>
      <w:r w:rsidR="004403A3">
        <w:rPr>
          <w:rFonts w:ascii="Arial Black" w:hAnsi="Arial Black" w:cs="Calibri"/>
          <w:b/>
          <w:i/>
          <w:sz w:val="16"/>
          <w:szCs w:val="16"/>
        </w:rPr>
        <w:t>December</w:t>
      </w:r>
      <w:r>
        <w:rPr>
          <w:rFonts w:ascii="Arial Black" w:hAnsi="Arial Black" w:cs="Calibri"/>
          <w:b/>
          <w:i/>
          <w:sz w:val="16"/>
          <w:szCs w:val="16"/>
        </w:rPr>
        <w:t xml:space="preserve"> 2013</w:t>
      </w:r>
      <w:r w:rsidRPr="00CF5C47">
        <w:rPr>
          <w:rFonts w:ascii="Arial Black" w:hAnsi="Arial Black" w:cs="Calibri"/>
          <w:b/>
          <w:i/>
          <w:sz w:val="16"/>
          <w:szCs w:val="16"/>
        </w:rPr>
        <w:t>)</w:t>
      </w:r>
    </w:p>
    <w:p w:rsidR="00164E4A" w:rsidRPr="00CF5C47" w:rsidRDefault="00164E4A" w:rsidP="00164E4A">
      <w:pPr>
        <w:spacing w:after="0" w:line="240" w:lineRule="auto"/>
        <w:jc w:val="center"/>
        <w:rPr>
          <w:rFonts w:ascii="Arial Narrow" w:hAnsi="Arial Narrow"/>
          <w:b/>
          <w:sz w:val="16"/>
          <w:szCs w:val="16"/>
        </w:rPr>
      </w:pPr>
    </w:p>
    <w:tbl>
      <w:tblPr>
        <w:tblStyle w:val="LightGrid-Accent5"/>
        <w:tblW w:w="10530" w:type="dxa"/>
        <w:tblInd w:w="-162" w:type="dxa"/>
        <w:tblLayout w:type="fixed"/>
        <w:tblLook w:val="04A0" w:firstRow="1" w:lastRow="0" w:firstColumn="1" w:lastColumn="0" w:noHBand="0" w:noVBand="1"/>
      </w:tblPr>
      <w:tblGrid>
        <w:gridCol w:w="1530"/>
        <w:gridCol w:w="810"/>
        <w:gridCol w:w="810"/>
        <w:gridCol w:w="810"/>
        <w:gridCol w:w="900"/>
        <w:gridCol w:w="990"/>
        <w:gridCol w:w="990"/>
        <w:gridCol w:w="1080"/>
        <w:gridCol w:w="1350"/>
        <w:gridCol w:w="1260"/>
      </w:tblGrid>
      <w:tr w:rsidR="00164E4A" w:rsidRPr="00CF5C47" w:rsidTr="00A90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tcPr>
          <w:p w:rsidR="00164E4A" w:rsidRPr="00CF5C47" w:rsidRDefault="00164E4A" w:rsidP="00164E4A">
            <w:pPr>
              <w:rPr>
                <w:rFonts w:ascii="Arial Narrow" w:hAnsi="Arial Narrow"/>
                <w:b w:val="0"/>
                <w:sz w:val="16"/>
                <w:szCs w:val="16"/>
              </w:rPr>
            </w:pPr>
          </w:p>
        </w:tc>
        <w:tc>
          <w:tcPr>
            <w:tcW w:w="810" w:type="dxa"/>
            <w:shd w:val="clear" w:color="auto" w:fill="D9D9D9" w:themeFill="background1" w:themeFillShade="D9"/>
          </w:tcPr>
          <w:p w:rsidR="00164E4A" w:rsidRPr="00197BA8" w:rsidRDefault="00164E4A" w:rsidP="00164E4A">
            <w:pPr>
              <w:jc w:val="center"/>
              <w:cnfStyle w:val="100000000000" w:firstRow="1" w:lastRow="0" w:firstColumn="0" w:lastColumn="0" w:oddVBand="0" w:evenVBand="0" w:oddHBand="0" w:evenHBand="0" w:firstRowFirstColumn="0" w:firstRowLastColumn="0" w:lastRowFirstColumn="0" w:lastRowLastColumn="0"/>
              <w:rPr>
                <w:rFonts w:ascii="Arial Black" w:hAnsi="Arial Black"/>
                <w:b w:val="0"/>
                <w:sz w:val="16"/>
                <w:szCs w:val="16"/>
              </w:rPr>
            </w:pPr>
            <w:r w:rsidRPr="00197BA8">
              <w:rPr>
                <w:rFonts w:ascii="Arial Black" w:hAnsi="Arial Black"/>
                <w:sz w:val="16"/>
                <w:szCs w:val="16"/>
              </w:rPr>
              <w:t>PY1</w:t>
            </w:r>
          </w:p>
        </w:tc>
        <w:tc>
          <w:tcPr>
            <w:tcW w:w="810" w:type="dxa"/>
            <w:shd w:val="clear" w:color="auto" w:fill="D9D9D9" w:themeFill="background1" w:themeFillShade="D9"/>
          </w:tcPr>
          <w:p w:rsidR="00164E4A" w:rsidRPr="00197BA8" w:rsidRDefault="00164E4A" w:rsidP="00164E4A">
            <w:pPr>
              <w:jc w:val="center"/>
              <w:cnfStyle w:val="100000000000" w:firstRow="1" w:lastRow="0" w:firstColumn="0" w:lastColumn="0" w:oddVBand="0" w:evenVBand="0" w:oddHBand="0" w:evenHBand="0" w:firstRowFirstColumn="0" w:firstRowLastColumn="0" w:lastRowFirstColumn="0" w:lastRowLastColumn="0"/>
              <w:rPr>
                <w:rFonts w:ascii="Arial Black" w:hAnsi="Arial Black"/>
                <w:b w:val="0"/>
                <w:sz w:val="16"/>
                <w:szCs w:val="16"/>
              </w:rPr>
            </w:pPr>
            <w:r w:rsidRPr="00197BA8">
              <w:rPr>
                <w:rFonts w:ascii="Arial Black" w:hAnsi="Arial Black"/>
                <w:sz w:val="16"/>
                <w:szCs w:val="16"/>
              </w:rPr>
              <w:t>PY2</w:t>
            </w:r>
          </w:p>
        </w:tc>
        <w:tc>
          <w:tcPr>
            <w:tcW w:w="810" w:type="dxa"/>
            <w:shd w:val="clear" w:color="auto" w:fill="D9D9D9" w:themeFill="background1" w:themeFillShade="D9"/>
          </w:tcPr>
          <w:p w:rsidR="00164E4A" w:rsidRPr="00197BA8" w:rsidRDefault="00164E4A" w:rsidP="00164E4A">
            <w:pPr>
              <w:jc w:val="center"/>
              <w:cnfStyle w:val="100000000000" w:firstRow="1" w:lastRow="0" w:firstColumn="0" w:lastColumn="0" w:oddVBand="0" w:evenVBand="0" w:oddHBand="0" w:evenHBand="0" w:firstRowFirstColumn="0" w:firstRowLastColumn="0" w:lastRowFirstColumn="0" w:lastRowLastColumn="0"/>
              <w:rPr>
                <w:rFonts w:ascii="Arial Black" w:hAnsi="Arial Black"/>
                <w:b w:val="0"/>
                <w:sz w:val="16"/>
                <w:szCs w:val="16"/>
              </w:rPr>
            </w:pPr>
            <w:r w:rsidRPr="00197BA8">
              <w:rPr>
                <w:rFonts w:ascii="Arial Black" w:hAnsi="Arial Black"/>
                <w:sz w:val="16"/>
                <w:szCs w:val="16"/>
              </w:rPr>
              <w:t>PY3</w:t>
            </w:r>
          </w:p>
        </w:tc>
        <w:tc>
          <w:tcPr>
            <w:tcW w:w="900" w:type="dxa"/>
            <w:shd w:val="clear" w:color="auto" w:fill="D9D9D9" w:themeFill="background1" w:themeFillShade="D9"/>
          </w:tcPr>
          <w:p w:rsidR="00164E4A" w:rsidRPr="00197BA8" w:rsidRDefault="00164E4A" w:rsidP="00164E4A">
            <w:pPr>
              <w:jc w:val="center"/>
              <w:cnfStyle w:val="100000000000" w:firstRow="1" w:lastRow="0" w:firstColumn="0" w:lastColumn="0" w:oddVBand="0" w:evenVBand="0" w:oddHBand="0" w:evenHBand="0" w:firstRowFirstColumn="0" w:firstRowLastColumn="0" w:lastRowFirstColumn="0" w:lastRowLastColumn="0"/>
              <w:rPr>
                <w:rFonts w:ascii="Arial Black" w:hAnsi="Arial Black"/>
                <w:b w:val="0"/>
                <w:sz w:val="16"/>
                <w:szCs w:val="16"/>
              </w:rPr>
            </w:pPr>
            <w:r w:rsidRPr="00197BA8">
              <w:rPr>
                <w:rFonts w:ascii="Arial Black" w:hAnsi="Arial Black"/>
                <w:sz w:val="16"/>
                <w:szCs w:val="16"/>
              </w:rPr>
              <w:t>PS1</w:t>
            </w:r>
          </w:p>
        </w:tc>
        <w:tc>
          <w:tcPr>
            <w:tcW w:w="990" w:type="dxa"/>
            <w:shd w:val="clear" w:color="auto" w:fill="D9D9D9" w:themeFill="background1" w:themeFillShade="D9"/>
          </w:tcPr>
          <w:p w:rsidR="00164E4A" w:rsidRPr="00197BA8" w:rsidRDefault="00164E4A" w:rsidP="00164E4A">
            <w:pPr>
              <w:jc w:val="center"/>
              <w:cnfStyle w:val="100000000000" w:firstRow="1" w:lastRow="0" w:firstColumn="0" w:lastColumn="0" w:oddVBand="0" w:evenVBand="0" w:oddHBand="0" w:evenHBand="0" w:firstRowFirstColumn="0" w:firstRowLastColumn="0" w:lastRowFirstColumn="0" w:lastRowLastColumn="0"/>
              <w:rPr>
                <w:rFonts w:ascii="Arial Black" w:hAnsi="Arial Black"/>
                <w:b w:val="0"/>
                <w:sz w:val="16"/>
                <w:szCs w:val="16"/>
              </w:rPr>
            </w:pPr>
            <w:r w:rsidRPr="00197BA8">
              <w:rPr>
                <w:rFonts w:ascii="Arial Black" w:hAnsi="Arial Black"/>
                <w:sz w:val="16"/>
                <w:szCs w:val="16"/>
              </w:rPr>
              <w:t>PS2</w:t>
            </w:r>
          </w:p>
        </w:tc>
        <w:tc>
          <w:tcPr>
            <w:tcW w:w="990" w:type="dxa"/>
            <w:shd w:val="clear" w:color="auto" w:fill="D9D9D9" w:themeFill="background1" w:themeFillShade="D9"/>
          </w:tcPr>
          <w:p w:rsidR="00164E4A" w:rsidRPr="00197BA8" w:rsidRDefault="00164E4A" w:rsidP="00164E4A">
            <w:pPr>
              <w:jc w:val="center"/>
              <w:cnfStyle w:val="100000000000" w:firstRow="1" w:lastRow="0" w:firstColumn="0" w:lastColumn="0" w:oddVBand="0" w:evenVBand="0" w:oddHBand="0" w:evenHBand="0" w:firstRowFirstColumn="0" w:firstRowLastColumn="0" w:lastRowFirstColumn="0" w:lastRowLastColumn="0"/>
              <w:rPr>
                <w:rFonts w:ascii="Arial Black" w:hAnsi="Arial Black"/>
                <w:b w:val="0"/>
                <w:sz w:val="16"/>
                <w:szCs w:val="16"/>
              </w:rPr>
            </w:pPr>
            <w:r w:rsidRPr="00197BA8">
              <w:rPr>
                <w:rFonts w:ascii="Arial Black" w:hAnsi="Arial Black"/>
                <w:sz w:val="16"/>
                <w:szCs w:val="16"/>
              </w:rPr>
              <w:t>PS3</w:t>
            </w:r>
          </w:p>
        </w:tc>
        <w:tc>
          <w:tcPr>
            <w:tcW w:w="1080" w:type="dxa"/>
            <w:shd w:val="clear" w:color="auto" w:fill="D9D9D9" w:themeFill="background1" w:themeFillShade="D9"/>
          </w:tcPr>
          <w:p w:rsidR="00164E4A" w:rsidRPr="00197BA8" w:rsidRDefault="00164E4A" w:rsidP="00164E4A">
            <w:pPr>
              <w:jc w:val="center"/>
              <w:cnfStyle w:val="100000000000" w:firstRow="1" w:lastRow="0" w:firstColumn="0" w:lastColumn="0" w:oddVBand="0" w:evenVBand="0" w:oddHBand="0" w:evenHBand="0" w:firstRowFirstColumn="0" w:firstRowLastColumn="0" w:lastRowFirstColumn="0" w:lastRowLastColumn="0"/>
              <w:rPr>
                <w:rFonts w:ascii="Arial Black" w:hAnsi="Arial Black"/>
                <w:b w:val="0"/>
                <w:sz w:val="16"/>
                <w:szCs w:val="16"/>
              </w:rPr>
            </w:pPr>
            <w:r w:rsidRPr="00197BA8">
              <w:rPr>
                <w:rFonts w:ascii="Arial Black" w:hAnsi="Arial Black"/>
                <w:sz w:val="16"/>
                <w:szCs w:val="16"/>
              </w:rPr>
              <w:t>PS4</w:t>
            </w:r>
          </w:p>
        </w:tc>
        <w:tc>
          <w:tcPr>
            <w:tcW w:w="1350" w:type="dxa"/>
            <w:shd w:val="clear" w:color="auto" w:fill="D9D9D9" w:themeFill="background1" w:themeFillShade="D9"/>
          </w:tcPr>
          <w:p w:rsidR="00164E4A" w:rsidRPr="00197BA8" w:rsidRDefault="00164E4A" w:rsidP="00164E4A">
            <w:pPr>
              <w:jc w:val="center"/>
              <w:cnfStyle w:val="100000000000" w:firstRow="1" w:lastRow="0" w:firstColumn="0" w:lastColumn="0" w:oddVBand="0" w:evenVBand="0" w:oddHBand="0" w:evenHBand="0" w:firstRowFirstColumn="0" w:firstRowLastColumn="0" w:lastRowFirstColumn="0" w:lastRowLastColumn="0"/>
              <w:rPr>
                <w:rFonts w:ascii="Arial Black" w:hAnsi="Arial Black"/>
                <w:sz w:val="16"/>
                <w:szCs w:val="16"/>
              </w:rPr>
            </w:pPr>
            <w:r w:rsidRPr="00197BA8">
              <w:rPr>
                <w:rFonts w:ascii="Arial Black" w:hAnsi="Arial Black"/>
                <w:sz w:val="16"/>
                <w:szCs w:val="16"/>
              </w:rPr>
              <w:t>Total</w:t>
            </w:r>
          </w:p>
        </w:tc>
        <w:tc>
          <w:tcPr>
            <w:tcW w:w="1260" w:type="dxa"/>
            <w:shd w:val="clear" w:color="auto" w:fill="D9D9D9" w:themeFill="background1" w:themeFillShade="D9"/>
          </w:tcPr>
          <w:p w:rsidR="00164E4A" w:rsidRPr="00197BA8" w:rsidRDefault="00164E4A" w:rsidP="00164E4A">
            <w:pPr>
              <w:jc w:val="center"/>
              <w:cnfStyle w:val="100000000000" w:firstRow="1" w:lastRow="0" w:firstColumn="0" w:lastColumn="0" w:oddVBand="0" w:evenVBand="0" w:oddHBand="0" w:evenHBand="0" w:firstRowFirstColumn="0" w:firstRowLastColumn="0" w:lastRowFirstColumn="0" w:lastRowLastColumn="0"/>
              <w:rPr>
                <w:rFonts w:ascii="Arial Black" w:hAnsi="Arial Black"/>
                <w:sz w:val="16"/>
                <w:szCs w:val="16"/>
              </w:rPr>
            </w:pPr>
            <w:r w:rsidRPr="00197BA8">
              <w:rPr>
                <w:rFonts w:ascii="Arial Black" w:hAnsi="Arial Black"/>
                <w:sz w:val="16"/>
                <w:szCs w:val="16"/>
              </w:rPr>
              <w:t>FYTD</w:t>
            </w:r>
          </w:p>
        </w:tc>
      </w:tr>
      <w:tr w:rsidR="00164E4A" w:rsidRPr="00CF5C47" w:rsidTr="00A90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tcPr>
          <w:p w:rsidR="00164E4A" w:rsidRPr="00CF5C47" w:rsidRDefault="00164E4A" w:rsidP="00164E4A">
            <w:pPr>
              <w:jc w:val="right"/>
              <w:rPr>
                <w:rFonts w:ascii="Arial Narrow" w:hAnsi="Arial Narrow"/>
                <w:sz w:val="16"/>
                <w:szCs w:val="16"/>
              </w:rPr>
            </w:pPr>
            <w:r w:rsidRPr="00CF5C47">
              <w:rPr>
                <w:rFonts w:ascii="Arial Narrow" w:hAnsi="Arial Narrow"/>
                <w:sz w:val="16"/>
                <w:szCs w:val="16"/>
              </w:rPr>
              <w:t>Secure Facilities</w:t>
            </w:r>
          </w:p>
        </w:tc>
        <w:tc>
          <w:tcPr>
            <w:tcW w:w="810" w:type="dxa"/>
            <w:shd w:val="clear" w:color="auto" w:fill="FFFFFF" w:themeFill="background1"/>
          </w:tcPr>
          <w:p w:rsidR="00164E4A" w:rsidRPr="00CF5C47"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1</w:t>
            </w:r>
          </w:p>
        </w:tc>
        <w:tc>
          <w:tcPr>
            <w:tcW w:w="810" w:type="dxa"/>
            <w:shd w:val="clear" w:color="auto" w:fill="FFFFFF" w:themeFill="background1"/>
          </w:tcPr>
          <w:p w:rsidR="00164E4A" w:rsidRPr="00CF5C47"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1</w:t>
            </w:r>
          </w:p>
        </w:tc>
        <w:tc>
          <w:tcPr>
            <w:tcW w:w="810" w:type="dxa"/>
            <w:shd w:val="clear" w:color="auto" w:fill="FFFFFF" w:themeFill="background1"/>
          </w:tcPr>
          <w:p w:rsidR="00164E4A" w:rsidRPr="00CF5C47"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4</w:t>
            </w:r>
          </w:p>
        </w:tc>
        <w:tc>
          <w:tcPr>
            <w:tcW w:w="900" w:type="dxa"/>
            <w:shd w:val="clear" w:color="auto" w:fill="FFFFFF" w:themeFill="background1"/>
          </w:tcPr>
          <w:p w:rsidR="00164E4A" w:rsidRPr="00CF5C47"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1</w:t>
            </w:r>
          </w:p>
        </w:tc>
        <w:tc>
          <w:tcPr>
            <w:tcW w:w="990" w:type="dxa"/>
            <w:shd w:val="clear" w:color="auto" w:fill="FFFFFF" w:themeFill="background1"/>
          </w:tcPr>
          <w:p w:rsidR="00164E4A" w:rsidRPr="00CF5C47"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0</w:t>
            </w:r>
          </w:p>
        </w:tc>
        <w:tc>
          <w:tcPr>
            <w:tcW w:w="990" w:type="dxa"/>
            <w:shd w:val="clear" w:color="auto" w:fill="FFFFFF" w:themeFill="background1"/>
          </w:tcPr>
          <w:p w:rsidR="00164E4A" w:rsidRPr="00CF5C47"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0</w:t>
            </w:r>
          </w:p>
        </w:tc>
        <w:tc>
          <w:tcPr>
            <w:tcW w:w="1080" w:type="dxa"/>
            <w:shd w:val="clear" w:color="auto" w:fill="FFFFFF" w:themeFill="background1"/>
          </w:tcPr>
          <w:p w:rsidR="00164E4A" w:rsidRPr="00CF5C47"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1</w:t>
            </w:r>
          </w:p>
        </w:tc>
        <w:tc>
          <w:tcPr>
            <w:tcW w:w="1350" w:type="dxa"/>
            <w:shd w:val="clear" w:color="auto" w:fill="FFFFFF" w:themeFill="background1"/>
          </w:tcPr>
          <w:p w:rsidR="00164E4A" w:rsidRPr="00835922"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Black" w:hAnsi="Arial Black"/>
                <w:b/>
                <w:sz w:val="16"/>
                <w:szCs w:val="16"/>
              </w:rPr>
            </w:pPr>
            <w:r>
              <w:rPr>
                <w:rFonts w:ascii="Arial Black" w:hAnsi="Arial Black"/>
                <w:b/>
                <w:sz w:val="16"/>
                <w:szCs w:val="16"/>
              </w:rPr>
              <w:t>8</w:t>
            </w:r>
          </w:p>
        </w:tc>
        <w:tc>
          <w:tcPr>
            <w:tcW w:w="1260" w:type="dxa"/>
            <w:shd w:val="clear" w:color="auto" w:fill="FFFFFF" w:themeFill="background1"/>
          </w:tcPr>
          <w:p w:rsidR="00164E4A"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Black" w:hAnsi="Arial Black"/>
                <w:b/>
                <w:sz w:val="16"/>
                <w:szCs w:val="16"/>
              </w:rPr>
            </w:pPr>
            <w:r>
              <w:rPr>
                <w:rFonts w:ascii="Arial Black" w:hAnsi="Arial Black"/>
                <w:b/>
                <w:sz w:val="16"/>
                <w:szCs w:val="16"/>
              </w:rPr>
              <w:t>160</w:t>
            </w:r>
          </w:p>
        </w:tc>
      </w:tr>
      <w:tr w:rsidR="00164E4A" w:rsidRPr="00CF5C47" w:rsidTr="00A90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tcPr>
          <w:p w:rsidR="00164E4A" w:rsidRPr="00CF5C47" w:rsidRDefault="00164E4A" w:rsidP="00164E4A">
            <w:pPr>
              <w:jc w:val="right"/>
              <w:rPr>
                <w:rFonts w:ascii="Arial Narrow" w:hAnsi="Arial Narrow"/>
                <w:sz w:val="16"/>
                <w:szCs w:val="16"/>
              </w:rPr>
            </w:pPr>
            <w:r w:rsidRPr="00CF5C47">
              <w:rPr>
                <w:rFonts w:ascii="Arial Narrow" w:hAnsi="Arial Narrow"/>
                <w:sz w:val="16"/>
                <w:szCs w:val="16"/>
              </w:rPr>
              <w:t>Community</w:t>
            </w:r>
          </w:p>
        </w:tc>
        <w:tc>
          <w:tcPr>
            <w:tcW w:w="810" w:type="dxa"/>
            <w:shd w:val="clear" w:color="auto" w:fill="FFFFFF" w:themeFill="background1"/>
          </w:tcPr>
          <w:p w:rsidR="00164E4A" w:rsidRPr="00CF5C47" w:rsidRDefault="00164E4A" w:rsidP="00164E4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Pr>
                <w:rFonts w:ascii="Arial Narrow" w:hAnsi="Arial Narrow"/>
                <w:sz w:val="16"/>
                <w:szCs w:val="16"/>
              </w:rPr>
              <w:t>0</w:t>
            </w:r>
          </w:p>
        </w:tc>
        <w:tc>
          <w:tcPr>
            <w:tcW w:w="810" w:type="dxa"/>
            <w:shd w:val="clear" w:color="auto" w:fill="FFFFFF" w:themeFill="background1"/>
          </w:tcPr>
          <w:p w:rsidR="00164E4A" w:rsidRPr="00CF5C47" w:rsidRDefault="00164E4A" w:rsidP="00164E4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Pr>
                <w:rFonts w:ascii="Arial Narrow" w:hAnsi="Arial Narrow"/>
                <w:sz w:val="16"/>
                <w:szCs w:val="16"/>
              </w:rPr>
              <w:t>0</w:t>
            </w:r>
          </w:p>
        </w:tc>
        <w:tc>
          <w:tcPr>
            <w:tcW w:w="810" w:type="dxa"/>
            <w:shd w:val="clear" w:color="auto" w:fill="FFFFFF" w:themeFill="background1"/>
          </w:tcPr>
          <w:p w:rsidR="00164E4A" w:rsidRPr="00CF5C47" w:rsidRDefault="00164E4A" w:rsidP="00164E4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Pr>
                <w:rFonts w:ascii="Arial Narrow" w:hAnsi="Arial Narrow"/>
                <w:sz w:val="16"/>
                <w:szCs w:val="16"/>
              </w:rPr>
              <w:t>0</w:t>
            </w:r>
          </w:p>
        </w:tc>
        <w:tc>
          <w:tcPr>
            <w:tcW w:w="900" w:type="dxa"/>
            <w:shd w:val="clear" w:color="auto" w:fill="FFFFFF" w:themeFill="background1"/>
          </w:tcPr>
          <w:p w:rsidR="00164E4A" w:rsidRPr="00CF5C47" w:rsidRDefault="00164E4A" w:rsidP="00164E4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Pr>
                <w:rFonts w:ascii="Arial Narrow" w:hAnsi="Arial Narrow"/>
                <w:sz w:val="16"/>
                <w:szCs w:val="16"/>
              </w:rPr>
              <w:t>1</w:t>
            </w:r>
          </w:p>
        </w:tc>
        <w:tc>
          <w:tcPr>
            <w:tcW w:w="990" w:type="dxa"/>
            <w:shd w:val="clear" w:color="auto" w:fill="FFFFFF" w:themeFill="background1"/>
          </w:tcPr>
          <w:p w:rsidR="00164E4A" w:rsidRPr="00CF5C47" w:rsidRDefault="00164E4A" w:rsidP="00164E4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Pr>
                <w:rFonts w:ascii="Arial Narrow" w:hAnsi="Arial Narrow"/>
                <w:sz w:val="16"/>
                <w:szCs w:val="16"/>
              </w:rPr>
              <w:t>0</w:t>
            </w:r>
          </w:p>
        </w:tc>
        <w:tc>
          <w:tcPr>
            <w:tcW w:w="990" w:type="dxa"/>
            <w:shd w:val="clear" w:color="auto" w:fill="FFFFFF" w:themeFill="background1"/>
          </w:tcPr>
          <w:p w:rsidR="00164E4A" w:rsidRPr="00CF5C47" w:rsidRDefault="00164E4A" w:rsidP="00164E4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Pr>
                <w:rFonts w:ascii="Arial Narrow" w:hAnsi="Arial Narrow"/>
                <w:sz w:val="16"/>
                <w:szCs w:val="16"/>
              </w:rPr>
              <w:t>0</w:t>
            </w:r>
          </w:p>
        </w:tc>
        <w:tc>
          <w:tcPr>
            <w:tcW w:w="1080" w:type="dxa"/>
            <w:shd w:val="clear" w:color="auto" w:fill="FFFFFF" w:themeFill="background1"/>
          </w:tcPr>
          <w:p w:rsidR="00164E4A" w:rsidRPr="00CF5C47" w:rsidRDefault="00164E4A" w:rsidP="00164E4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Pr>
                <w:rFonts w:ascii="Arial Narrow" w:hAnsi="Arial Narrow"/>
                <w:sz w:val="16"/>
                <w:szCs w:val="16"/>
              </w:rPr>
              <w:t>0</w:t>
            </w:r>
          </w:p>
        </w:tc>
        <w:tc>
          <w:tcPr>
            <w:tcW w:w="1350" w:type="dxa"/>
            <w:shd w:val="clear" w:color="auto" w:fill="FFFFFF" w:themeFill="background1"/>
          </w:tcPr>
          <w:p w:rsidR="00164E4A" w:rsidRPr="00835922" w:rsidRDefault="00164E4A" w:rsidP="00164E4A">
            <w:pPr>
              <w:jc w:val="center"/>
              <w:cnfStyle w:val="000000010000" w:firstRow="0" w:lastRow="0" w:firstColumn="0" w:lastColumn="0" w:oddVBand="0" w:evenVBand="0" w:oddHBand="0" w:evenHBand="1" w:firstRowFirstColumn="0" w:firstRowLastColumn="0" w:lastRowFirstColumn="0" w:lastRowLastColumn="0"/>
              <w:rPr>
                <w:rFonts w:ascii="Arial Black" w:hAnsi="Arial Black"/>
                <w:b/>
                <w:sz w:val="16"/>
                <w:szCs w:val="16"/>
              </w:rPr>
            </w:pPr>
            <w:r>
              <w:rPr>
                <w:rFonts w:ascii="Arial Black" w:hAnsi="Arial Black"/>
                <w:b/>
                <w:sz w:val="16"/>
                <w:szCs w:val="16"/>
              </w:rPr>
              <w:t>1</w:t>
            </w:r>
          </w:p>
        </w:tc>
        <w:tc>
          <w:tcPr>
            <w:tcW w:w="1260" w:type="dxa"/>
            <w:shd w:val="clear" w:color="auto" w:fill="FFFFFF" w:themeFill="background1"/>
          </w:tcPr>
          <w:p w:rsidR="00164E4A" w:rsidRDefault="00164E4A" w:rsidP="00164E4A">
            <w:pPr>
              <w:jc w:val="center"/>
              <w:cnfStyle w:val="000000010000" w:firstRow="0" w:lastRow="0" w:firstColumn="0" w:lastColumn="0" w:oddVBand="0" w:evenVBand="0" w:oddHBand="0" w:evenHBand="1" w:firstRowFirstColumn="0" w:firstRowLastColumn="0" w:lastRowFirstColumn="0" w:lastRowLastColumn="0"/>
              <w:rPr>
                <w:rFonts w:ascii="Arial Black" w:hAnsi="Arial Black"/>
                <w:b/>
                <w:sz w:val="16"/>
                <w:szCs w:val="16"/>
              </w:rPr>
            </w:pPr>
            <w:r>
              <w:rPr>
                <w:rFonts w:ascii="Arial Black" w:hAnsi="Arial Black"/>
                <w:b/>
                <w:sz w:val="16"/>
                <w:szCs w:val="16"/>
              </w:rPr>
              <w:t>37</w:t>
            </w:r>
          </w:p>
        </w:tc>
      </w:tr>
      <w:tr w:rsidR="00164E4A" w:rsidRPr="00CF5C47" w:rsidTr="00A90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tcPr>
          <w:p w:rsidR="00164E4A" w:rsidRPr="00CF5C47" w:rsidRDefault="00164E4A" w:rsidP="00164E4A">
            <w:pPr>
              <w:jc w:val="right"/>
              <w:rPr>
                <w:rFonts w:ascii="Arial Black" w:hAnsi="Arial Black"/>
                <w:b w:val="0"/>
                <w:sz w:val="16"/>
                <w:szCs w:val="16"/>
              </w:rPr>
            </w:pPr>
            <w:r w:rsidRPr="00CF5C47">
              <w:rPr>
                <w:rFonts w:ascii="Arial Black" w:hAnsi="Arial Black"/>
                <w:b w:val="0"/>
                <w:sz w:val="16"/>
                <w:szCs w:val="16"/>
              </w:rPr>
              <w:t>Total</w:t>
            </w:r>
          </w:p>
        </w:tc>
        <w:tc>
          <w:tcPr>
            <w:tcW w:w="810" w:type="dxa"/>
            <w:shd w:val="clear" w:color="auto" w:fill="D9D9D9" w:themeFill="background1" w:themeFillShade="D9"/>
          </w:tcPr>
          <w:p w:rsidR="00164E4A" w:rsidRPr="00CF5C47"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Black" w:hAnsi="Arial Black"/>
                <w:b/>
                <w:sz w:val="16"/>
                <w:szCs w:val="16"/>
              </w:rPr>
            </w:pPr>
            <w:r>
              <w:rPr>
                <w:rFonts w:ascii="Arial Black" w:hAnsi="Arial Black"/>
                <w:b/>
                <w:sz w:val="16"/>
                <w:szCs w:val="16"/>
              </w:rPr>
              <w:t>1</w:t>
            </w:r>
          </w:p>
        </w:tc>
        <w:tc>
          <w:tcPr>
            <w:tcW w:w="810" w:type="dxa"/>
            <w:shd w:val="clear" w:color="auto" w:fill="D9D9D9" w:themeFill="background1" w:themeFillShade="D9"/>
          </w:tcPr>
          <w:p w:rsidR="00164E4A" w:rsidRPr="00CF5C47"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Black" w:hAnsi="Arial Black"/>
                <w:b/>
                <w:sz w:val="16"/>
                <w:szCs w:val="16"/>
              </w:rPr>
            </w:pPr>
            <w:r>
              <w:rPr>
                <w:rFonts w:ascii="Arial Black" w:hAnsi="Arial Black"/>
                <w:b/>
                <w:sz w:val="16"/>
                <w:szCs w:val="16"/>
              </w:rPr>
              <w:t>1</w:t>
            </w:r>
          </w:p>
        </w:tc>
        <w:tc>
          <w:tcPr>
            <w:tcW w:w="810" w:type="dxa"/>
            <w:shd w:val="clear" w:color="auto" w:fill="D9D9D9" w:themeFill="background1" w:themeFillShade="D9"/>
          </w:tcPr>
          <w:p w:rsidR="00164E4A" w:rsidRPr="00CF5C47"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Black" w:hAnsi="Arial Black"/>
                <w:b/>
                <w:sz w:val="16"/>
                <w:szCs w:val="16"/>
              </w:rPr>
            </w:pPr>
            <w:r>
              <w:rPr>
                <w:rFonts w:ascii="Arial Black" w:hAnsi="Arial Black"/>
                <w:b/>
                <w:sz w:val="16"/>
                <w:szCs w:val="16"/>
              </w:rPr>
              <w:t>4</w:t>
            </w:r>
          </w:p>
        </w:tc>
        <w:tc>
          <w:tcPr>
            <w:tcW w:w="900" w:type="dxa"/>
            <w:shd w:val="clear" w:color="auto" w:fill="D9D9D9" w:themeFill="background1" w:themeFillShade="D9"/>
          </w:tcPr>
          <w:p w:rsidR="00164E4A" w:rsidRPr="00CF5C47"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Black" w:hAnsi="Arial Black"/>
                <w:b/>
                <w:sz w:val="16"/>
                <w:szCs w:val="16"/>
              </w:rPr>
            </w:pPr>
            <w:r>
              <w:rPr>
                <w:rFonts w:ascii="Arial Black" w:hAnsi="Arial Black"/>
                <w:b/>
                <w:sz w:val="16"/>
                <w:szCs w:val="16"/>
              </w:rPr>
              <w:t>2</w:t>
            </w:r>
          </w:p>
        </w:tc>
        <w:tc>
          <w:tcPr>
            <w:tcW w:w="990" w:type="dxa"/>
            <w:shd w:val="clear" w:color="auto" w:fill="D9D9D9" w:themeFill="background1" w:themeFillShade="D9"/>
          </w:tcPr>
          <w:p w:rsidR="00164E4A" w:rsidRPr="00CF5C47"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Black" w:hAnsi="Arial Black"/>
                <w:b/>
                <w:sz w:val="16"/>
                <w:szCs w:val="16"/>
              </w:rPr>
            </w:pPr>
            <w:r>
              <w:rPr>
                <w:rFonts w:ascii="Arial Black" w:hAnsi="Arial Black"/>
                <w:b/>
                <w:sz w:val="16"/>
                <w:szCs w:val="16"/>
              </w:rPr>
              <w:t>0</w:t>
            </w:r>
          </w:p>
        </w:tc>
        <w:tc>
          <w:tcPr>
            <w:tcW w:w="990" w:type="dxa"/>
            <w:shd w:val="clear" w:color="auto" w:fill="D9D9D9" w:themeFill="background1" w:themeFillShade="D9"/>
          </w:tcPr>
          <w:p w:rsidR="00164E4A" w:rsidRPr="00CF5C47"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Black" w:hAnsi="Arial Black"/>
                <w:b/>
                <w:sz w:val="16"/>
                <w:szCs w:val="16"/>
              </w:rPr>
            </w:pPr>
            <w:r>
              <w:rPr>
                <w:rFonts w:ascii="Arial Black" w:hAnsi="Arial Black"/>
                <w:b/>
                <w:sz w:val="16"/>
                <w:szCs w:val="16"/>
              </w:rPr>
              <w:t>0</w:t>
            </w:r>
          </w:p>
        </w:tc>
        <w:tc>
          <w:tcPr>
            <w:tcW w:w="1080" w:type="dxa"/>
            <w:shd w:val="clear" w:color="auto" w:fill="D9D9D9" w:themeFill="background1" w:themeFillShade="D9"/>
          </w:tcPr>
          <w:p w:rsidR="00164E4A" w:rsidRPr="00CF5C47"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Black" w:hAnsi="Arial Black"/>
                <w:b/>
                <w:sz w:val="16"/>
                <w:szCs w:val="16"/>
              </w:rPr>
            </w:pPr>
            <w:r>
              <w:rPr>
                <w:rFonts w:ascii="Arial Black" w:hAnsi="Arial Black"/>
                <w:b/>
                <w:sz w:val="16"/>
                <w:szCs w:val="16"/>
              </w:rPr>
              <w:t>1</w:t>
            </w:r>
          </w:p>
        </w:tc>
        <w:tc>
          <w:tcPr>
            <w:tcW w:w="1350" w:type="dxa"/>
            <w:shd w:val="clear" w:color="auto" w:fill="D9D9D9" w:themeFill="background1" w:themeFillShade="D9"/>
          </w:tcPr>
          <w:p w:rsidR="00164E4A" w:rsidRPr="00835922"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Black" w:hAnsi="Arial Black"/>
                <w:b/>
                <w:sz w:val="16"/>
                <w:szCs w:val="16"/>
              </w:rPr>
            </w:pPr>
            <w:r>
              <w:rPr>
                <w:rFonts w:ascii="Arial Black" w:hAnsi="Arial Black"/>
                <w:b/>
                <w:sz w:val="16"/>
                <w:szCs w:val="16"/>
              </w:rPr>
              <w:t>9</w:t>
            </w:r>
          </w:p>
        </w:tc>
        <w:tc>
          <w:tcPr>
            <w:tcW w:w="1260" w:type="dxa"/>
            <w:shd w:val="clear" w:color="auto" w:fill="D9D9D9" w:themeFill="background1" w:themeFillShade="D9"/>
          </w:tcPr>
          <w:p w:rsidR="00164E4A" w:rsidRDefault="00164E4A" w:rsidP="00164E4A">
            <w:pPr>
              <w:jc w:val="center"/>
              <w:cnfStyle w:val="000000100000" w:firstRow="0" w:lastRow="0" w:firstColumn="0" w:lastColumn="0" w:oddVBand="0" w:evenVBand="0" w:oddHBand="1" w:evenHBand="0" w:firstRowFirstColumn="0" w:firstRowLastColumn="0" w:lastRowFirstColumn="0" w:lastRowLastColumn="0"/>
              <w:rPr>
                <w:rFonts w:ascii="Arial Black" w:hAnsi="Arial Black"/>
                <w:b/>
                <w:sz w:val="16"/>
                <w:szCs w:val="16"/>
              </w:rPr>
            </w:pPr>
            <w:r>
              <w:rPr>
                <w:rFonts w:ascii="Arial Black" w:hAnsi="Arial Black"/>
                <w:b/>
                <w:sz w:val="16"/>
                <w:szCs w:val="16"/>
              </w:rPr>
              <w:t>197</w:t>
            </w:r>
          </w:p>
        </w:tc>
      </w:tr>
    </w:tbl>
    <w:p w:rsidR="00164E4A" w:rsidRPr="00CF5C47" w:rsidRDefault="00164E4A" w:rsidP="00164E4A">
      <w:pPr>
        <w:spacing w:after="0" w:line="240" w:lineRule="auto"/>
        <w:rPr>
          <w:rFonts w:cstheme="minorHAnsi"/>
          <w:b/>
          <w:sz w:val="16"/>
          <w:szCs w:val="16"/>
        </w:rPr>
      </w:pPr>
    </w:p>
    <w:p w:rsidR="00A90B6B" w:rsidRDefault="00A90B6B" w:rsidP="00164E4A">
      <w:pPr>
        <w:pStyle w:val="ListParagraph"/>
        <w:spacing w:after="0" w:line="240" w:lineRule="auto"/>
        <w:jc w:val="center"/>
        <w:rPr>
          <w:rFonts w:ascii="Arial Black" w:hAnsi="Arial Black"/>
          <w:b/>
          <w:sz w:val="16"/>
          <w:szCs w:val="16"/>
          <w:u w:val="single"/>
        </w:rPr>
      </w:pPr>
    </w:p>
    <w:p w:rsidR="00164E4A" w:rsidRDefault="00164E4A" w:rsidP="00164E4A">
      <w:pPr>
        <w:pStyle w:val="ListParagraph"/>
        <w:spacing w:after="0" w:line="240" w:lineRule="auto"/>
        <w:jc w:val="center"/>
        <w:rPr>
          <w:rFonts w:ascii="Arial Black" w:hAnsi="Arial Black"/>
          <w:b/>
          <w:sz w:val="16"/>
          <w:szCs w:val="16"/>
        </w:rPr>
      </w:pPr>
      <w:r>
        <w:rPr>
          <w:rFonts w:ascii="Arial Black" w:hAnsi="Arial Black"/>
          <w:b/>
          <w:sz w:val="16"/>
          <w:szCs w:val="16"/>
          <w:u w:val="single"/>
        </w:rPr>
        <w:t xml:space="preserve">2013 </w:t>
      </w:r>
      <w:r w:rsidRPr="00CF5C47">
        <w:rPr>
          <w:rFonts w:ascii="Arial Black" w:hAnsi="Arial Black"/>
          <w:b/>
          <w:sz w:val="16"/>
          <w:szCs w:val="16"/>
          <w:u w:val="single"/>
        </w:rPr>
        <w:t>Monthly</w:t>
      </w:r>
      <w:r w:rsidRPr="00CF5C47">
        <w:rPr>
          <w:rFonts w:ascii="Arial Black" w:hAnsi="Arial Black"/>
          <w:b/>
          <w:sz w:val="16"/>
          <w:szCs w:val="16"/>
        </w:rPr>
        <w:t xml:space="preserve"> Comparison Report</w:t>
      </w:r>
    </w:p>
    <w:p w:rsidR="00164E4A" w:rsidRPr="00CF5C47" w:rsidRDefault="00164E4A" w:rsidP="00164E4A">
      <w:pPr>
        <w:pStyle w:val="ListParagraph"/>
        <w:spacing w:after="0" w:line="240" w:lineRule="auto"/>
        <w:jc w:val="center"/>
        <w:rPr>
          <w:rFonts w:ascii="Arial Black" w:hAnsi="Arial Black"/>
          <w:b/>
          <w:sz w:val="16"/>
          <w:szCs w:val="16"/>
        </w:rPr>
      </w:pPr>
    </w:p>
    <w:tbl>
      <w:tblPr>
        <w:tblStyle w:val="TableGrid"/>
        <w:tblW w:w="10530" w:type="dxa"/>
        <w:tblInd w:w="-162" w:type="dxa"/>
        <w:tblLayout w:type="fixed"/>
        <w:tblLook w:val="04A0" w:firstRow="1" w:lastRow="0" w:firstColumn="1" w:lastColumn="0" w:noHBand="0" w:noVBand="1"/>
      </w:tblPr>
      <w:tblGrid>
        <w:gridCol w:w="2340"/>
        <w:gridCol w:w="630"/>
        <w:gridCol w:w="540"/>
        <w:gridCol w:w="630"/>
        <w:gridCol w:w="630"/>
        <w:gridCol w:w="630"/>
        <w:gridCol w:w="540"/>
        <w:gridCol w:w="540"/>
        <w:gridCol w:w="630"/>
        <w:gridCol w:w="630"/>
        <w:gridCol w:w="540"/>
        <w:gridCol w:w="630"/>
        <w:gridCol w:w="630"/>
        <w:gridCol w:w="990"/>
      </w:tblGrid>
      <w:tr w:rsidR="00A90B6B" w:rsidRPr="00CF5C47" w:rsidTr="00A90B6B">
        <w:tc>
          <w:tcPr>
            <w:tcW w:w="2340" w:type="dxa"/>
            <w:tcBorders>
              <w:bottom w:val="single" w:sz="4" w:space="0" w:color="auto"/>
            </w:tcBorders>
            <w:shd w:val="pct10" w:color="auto" w:fill="auto"/>
          </w:tcPr>
          <w:p w:rsidR="00164E4A" w:rsidRPr="00CF5C47" w:rsidRDefault="00164E4A" w:rsidP="00164E4A">
            <w:pPr>
              <w:jc w:val="center"/>
              <w:rPr>
                <w:rFonts w:ascii="Arial Black" w:hAnsi="Arial Black"/>
                <w:b/>
                <w:sz w:val="16"/>
                <w:szCs w:val="16"/>
              </w:rPr>
            </w:pPr>
            <w:r>
              <w:rPr>
                <w:rFonts w:ascii="Arial Black" w:hAnsi="Arial Black"/>
                <w:b/>
                <w:sz w:val="16"/>
                <w:szCs w:val="16"/>
              </w:rPr>
              <w:t>PREA Codes</w:t>
            </w:r>
          </w:p>
        </w:tc>
        <w:tc>
          <w:tcPr>
            <w:tcW w:w="630" w:type="dxa"/>
            <w:shd w:val="pct10" w:color="auto" w:fill="auto"/>
          </w:tcPr>
          <w:p w:rsidR="00164E4A" w:rsidRPr="00CF5C47" w:rsidRDefault="00164E4A" w:rsidP="00164E4A">
            <w:pPr>
              <w:rPr>
                <w:rFonts w:ascii="Arial Black" w:hAnsi="Arial Black"/>
                <w:b/>
                <w:sz w:val="16"/>
                <w:szCs w:val="16"/>
              </w:rPr>
            </w:pPr>
            <w:r w:rsidRPr="00CF5C47">
              <w:rPr>
                <w:rFonts w:ascii="Arial Black" w:hAnsi="Arial Black"/>
                <w:b/>
                <w:sz w:val="16"/>
                <w:szCs w:val="16"/>
              </w:rPr>
              <w:t>Jan</w:t>
            </w:r>
          </w:p>
        </w:tc>
        <w:tc>
          <w:tcPr>
            <w:tcW w:w="540" w:type="dxa"/>
            <w:shd w:val="pct10" w:color="auto" w:fill="auto"/>
          </w:tcPr>
          <w:p w:rsidR="00164E4A" w:rsidRPr="00CF5C47" w:rsidRDefault="00164E4A" w:rsidP="00164E4A">
            <w:pPr>
              <w:rPr>
                <w:rFonts w:ascii="Arial Black" w:hAnsi="Arial Black"/>
                <w:b/>
                <w:sz w:val="16"/>
                <w:szCs w:val="16"/>
              </w:rPr>
            </w:pPr>
            <w:r w:rsidRPr="00CF5C47">
              <w:rPr>
                <w:rFonts w:ascii="Arial Black" w:hAnsi="Arial Black"/>
                <w:b/>
                <w:sz w:val="16"/>
                <w:szCs w:val="16"/>
              </w:rPr>
              <w:t>Feb</w:t>
            </w:r>
          </w:p>
        </w:tc>
        <w:tc>
          <w:tcPr>
            <w:tcW w:w="630" w:type="dxa"/>
            <w:shd w:val="pct10" w:color="auto" w:fill="auto"/>
          </w:tcPr>
          <w:p w:rsidR="00164E4A" w:rsidRPr="00CF5C47" w:rsidRDefault="00164E4A" w:rsidP="00164E4A">
            <w:pPr>
              <w:rPr>
                <w:rFonts w:ascii="Arial Black" w:hAnsi="Arial Black"/>
                <w:b/>
                <w:sz w:val="16"/>
                <w:szCs w:val="16"/>
              </w:rPr>
            </w:pPr>
            <w:r w:rsidRPr="00CF5C47">
              <w:rPr>
                <w:rFonts w:ascii="Arial Black" w:hAnsi="Arial Black"/>
                <w:b/>
                <w:sz w:val="16"/>
                <w:szCs w:val="16"/>
              </w:rPr>
              <w:t>Mar</w:t>
            </w:r>
          </w:p>
        </w:tc>
        <w:tc>
          <w:tcPr>
            <w:tcW w:w="630" w:type="dxa"/>
            <w:shd w:val="pct10" w:color="auto" w:fill="auto"/>
          </w:tcPr>
          <w:p w:rsidR="00164E4A" w:rsidRPr="00CF5C47" w:rsidRDefault="00164E4A" w:rsidP="00164E4A">
            <w:pPr>
              <w:rPr>
                <w:rFonts w:ascii="Arial Black" w:hAnsi="Arial Black"/>
                <w:b/>
                <w:sz w:val="16"/>
                <w:szCs w:val="16"/>
              </w:rPr>
            </w:pPr>
            <w:r w:rsidRPr="00CF5C47">
              <w:rPr>
                <w:rFonts w:ascii="Arial Black" w:hAnsi="Arial Black"/>
                <w:b/>
                <w:sz w:val="16"/>
                <w:szCs w:val="16"/>
              </w:rPr>
              <w:t>Apr</w:t>
            </w:r>
          </w:p>
        </w:tc>
        <w:tc>
          <w:tcPr>
            <w:tcW w:w="630" w:type="dxa"/>
            <w:shd w:val="pct10" w:color="auto" w:fill="auto"/>
          </w:tcPr>
          <w:p w:rsidR="00164E4A" w:rsidRPr="00CF5C47" w:rsidRDefault="00164E4A" w:rsidP="00164E4A">
            <w:pPr>
              <w:rPr>
                <w:rFonts w:ascii="Arial Black" w:hAnsi="Arial Black"/>
                <w:b/>
                <w:sz w:val="16"/>
                <w:szCs w:val="16"/>
              </w:rPr>
            </w:pPr>
            <w:r w:rsidRPr="00CF5C47">
              <w:rPr>
                <w:rFonts w:ascii="Arial Black" w:hAnsi="Arial Black"/>
                <w:b/>
                <w:sz w:val="16"/>
                <w:szCs w:val="16"/>
              </w:rPr>
              <w:t>May</w:t>
            </w:r>
          </w:p>
        </w:tc>
        <w:tc>
          <w:tcPr>
            <w:tcW w:w="540" w:type="dxa"/>
            <w:shd w:val="pct10" w:color="auto" w:fill="auto"/>
          </w:tcPr>
          <w:p w:rsidR="00164E4A" w:rsidRPr="00CF5C47" w:rsidRDefault="00164E4A" w:rsidP="00164E4A">
            <w:pPr>
              <w:rPr>
                <w:rFonts w:ascii="Arial Black" w:hAnsi="Arial Black"/>
                <w:b/>
                <w:sz w:val="16"/>
                <w:szCs w:val="16"/>
              </w:rPr>
            </w:pPr>
            <w:r w:rsidRPr="00CF5C47">
              <w:rPr>
                <w:rFonts w:ascii="Arial Black" w:hAnsi="Arial Black"/>
                <w:b/>
                <w:sz w:val="16"/>
                <w:szCs w:val="16"/>
              </w:rPr>
              <w:t>Jun</w:t>
            </w:r>
          </w:p>
        </w:tc>
        <w:tc>
          <w:tcPr>
            <w:tcW w:w="540" w:type="dxa"/>
            <w:shd w:val="pct10" w:color="auto" w:fill="auto"/>
          </w:tcPr>
          <w:p w:rsidR="00164E4A" w:rsidRPr="00CF5C47" w:rsidRDefault="00164E4A" w:rsidP="00164E4A">
            <w:pPr>
              <w:rPr>
                <w:rFonts w:ascii="Arial Black" w:hAnsi="Arial Black"/>
                <w:b/>
                <w:sz w:val="16"/>
                <w:szCs w:val="16"/>
              </w:rPr>
            </w:pPr>
            <w:r w:rsidRPr="00CF5C47">
              <w:rPr>
                <w:rFonts w:ascii="Arial Black" w:hAnsi="Arial Black"/>
                <w:b/>
                <w:sz w:val="16"/>
                <w:szCs w:val="16"/>
              </w:rPr>
              <w:t>Jul</w:t>
            </w:r>
          </w:p>
        </w:tc>
        <w:tc>
          <w:tcPr>
            <w:tcW w:w="630" w:type="dxa"/>
            <w:shd w:val="pct10" w:color="auto" w:fill="auto"/>
          </w:tcPr>
          <w:p w:rsidR="00164E4A" w:rsidRPr="00CF5C47" w:rsidRDefault="00164E4A" w:rsidP="00164E4A">
            <w:pPr>
              <w:rPr>
                <w:rFonts w:ascii="Arial Black" w:hAnsi="Arial Black"/>
                <w:b/>
                <w:sz w:val="16"/>
                <w:szCs w:val="16"/>
              </w:rPr>
            </w:pPr>
            <w:r w:rsidRPr="00CF5C47">
              <w:rPr>
                <w:rFonts w:ascii="Arial Black" w:hAnsi="Arial Black"/>
                <w:b/>
                <w:sz w:val="16"/>
                <w:szCs w:val="16"/>
              </w:rPr>
              <w:t>Aug</w:t>
            </w:r>
          </w:p>
        </w:tc>
        <w:tc>
          <w:tcPr>
            <w:tcW w:w="630" w:type="dxa"/>
            <w:shd w:val="pct10" w:color="auto" w:fill="auto"/>
          </w:tcPr>
          <w:p w:rsidR="00164E4A" w:rsidRPr="00CF5C47" w:rsidRDefault="00164E4A" w:rsidP="00164E4A">
            <w:pPr>
              <w:rPr>
                <w:rFonts w:ascii="Arial Black" w:hAnsi="Arial Black"/>
                <w:b/>
                <w:sz w:val="16"/>
                <w:szCs w:val="16"/>
              </w:rPr>
            </w:pPr>
            <w:r w:rsidRPr="00CF5C47">
              <w:rPr>
                <w:rFonts w:ascii="Arial Black" w:hAnsi="Arial Black"/>
                <w:b/>
                <w:sz w:val="16"/>
                <w:szCs w:val="16"/>
              </w:rPr>
              <w:t>Sep</w:t>
            </w:r>
          </w:p>
        </w:tc>
        <w:tc>
          <w:tcPr>
            <w:tcW w:w="540" w:type="dxa"/>
            <w:shd w:val="pct10" w:color="auto" w:fill="auto"/>
          </w:tcPr>
          <w:p w:rsidR="00164E4A" w:rsidRPr="00CF5C47" w:rsidRDefault="00164E4A" w:rsidP="00164E4A">
            <w:pPr>
              <w:rPr>
                <w:rFonts w:ascii="Arial Black" w:hAnsi="Arial Black"/>
                <w:b/>
                <w:sz w:val="16"/>
                <w:szCs w:val="16"/>
              </w:rPr>
            </w:pPr>
            <w:r w:rsidRPr="00CF5C47">
              <w:rPr>
                <w:rFonts w:ascii="Arial Black" w:hAnsi="Arial Black"/>
                <w:b/>
                <w:sz w:val="16"/>
                <w:szCs w:val="16"/>
              </w:rPr>
              <w:t>Oct</w:t>
            </w:r>
          </w:p>
        </w:tc>
        <w:tc>
          <w:tcPr>
            <w:tcW w:w="630" w:type="dxa"/>
            <w:shd w:val="pct10" w:color="auto" w:fill="auto"/>
          </w:tcPr>
          <w:p w:rsidR="00164E4A" w:rsidRPr="00CF5C47" w:rsidRDefault="00164E4A" w:rsidP="00164E4A">
            <w:pPr>
              <w:rPr>
                <w:rFonts w:ascii="Arial Black" w:hAnsi="Arial Black"/>
                <w:b/>
                <w:sz w:val="16"/>
                <w:szCs w:val="16"/>
              </w:rPr>
            </w:pPr>
            <w:r w:rsidRPr="00CF5C47">
              <w:rPr>
                <w:rFonts w:ascii="Arial Black" w:hAnsi="Arial Black"/>
                <w:b/>
                <w:sz w:val="16"/>
                <w:szCs w:val="16"/>
              </w:rPr>
              <w:t>Nov</w:t>
            </w:r>
          </w:p>
        </w:tc>
        <w:tc>
          <w:tcPr>
            <w:tcW w:w="630" w:type="dxa"/>
            <w:shd w:val="pct10" w:color="auto" w:fill="auto"/>
          </w:tcPr>
          <w:p w:rsidR="00164E4A" w:rsidRPr="00CF5C47" w:rsidRDefault="00164E4A" w:rsidP="00164E4A">
            <w:pPr>
              <w:rPr>
                <w:rFonts w:ascii="Arial Black" w:hAnsi="Arial Black"/>
                <w:b/>
                <w:sz w:val="16"/>
                <w:szCs w:val="16"/>
              </w:rPr>
            </w:pPr>
            <w:r w:rsidRPr="00CF5C47">
              <w:rPr>
                <w:rFonts w:ascii="Arial Black" w:hAnsi="Arial Black"/>
                <w:b/>
                <w:sz w:val="16"/>
                <w:szCs w:val="16"/>
              </w:rPr>
              <w:t>Dec</w:t>
            </w:r>
          </w:p>
        </w:tc>
        <w:tc>
          <w:tcPr>
            <w:tcW w:w="990" w:type="dxa"/>
            <w:shd w:val="pct10" w:color="auto" w:fill="auto"/>
          </w:tcPr>
          <w:p w:rsidR="00164E4A" w:rsidRPr="00CF5C47" w:rsidRDefault="00164E4A" w:rsidP="00164E4A">
            <w:pPr>
              <w:rPr>
                <w:rFonts w:ascii="Arial Black" w:hAnsi="Arial Black"/>
                <w:b/>
                <w:sz w:val="16"/>
                <w:szCs w:val="16"/>
              </w:rPr>
            </w:pPr>
            <w:r w:rsidRPr="00CF5C47">
              <w:rPr>
                <w:rFonts w:ascii="Arial Black" w:hAnsi="Arial Black"/>
                <w:b/>
                <w:sz w:val="16"/>
                <w:szCs w:val="16"/>
              </w:rPr>
              <w:t>FYTD</w:t>
            </w:r>
          </w:p>
        </w:tc>
      </w:tr>
      <w:tr w:rsidR="00A90B6B" w:rsidRPr="00CF5C47" w:rsidTr="00A90B6B">
        <w:tc>
          <w:tcPr>
            <w:tcW w:w="2340" w:type="dxa"/>
            <w:shd w:val="clear" w:color="auto" w:fill="auto"/>
          </w:tcPr>
          <w:p w:rsidR="00164E4A" w:rsidRPr="00CF5C47" w:rsidRDefault="00164E4A" w:rsidP="00164E4A">
            <w:pPr>
              <w:pStyle w:val="ListParagraph"/>
              <w:ind w:left="0"/>
              <w:rPr>
                <w:sz w:val="16"/>
                <w:szCs w:val="16"/>
              </w:rPr>
            </w:pPr>
            <w:r w:rsidRPr="00CF5C47">
              <w:rPr>
                <w:b/>
                <w:sz w:val="16"/>
                <w:szCs w:val="16"/>
              </w:rPr>
              <w:t xml:space="preserve"> PY1-</w:t>
            </w:r>
            <w:r w:rsidRPr="00CF5C47">
              <w:rPr>
                <w:sz w:val="16"/>
                <w:szCs w:val="16"/>
              </w:rPr>
              <w:t xml:space="preserve"> Unwanted Penetration</w:t>
            </w:r>
          </w:p>
        </w:tc>
        <w:tc>
          <w:tcPr>
            <w:tcW w:w="630" w:type="dxa"/>
          </w:tcPr>
          <w:p w:rsidR="00164E4A" w:rsidRPr="00CC50C0" w:rsidRDefault="00164E4A" w:rsidP="00164E4A">
            <w:pPr>
              <w:jc w:val="center"/>
              <w:rPr>
                <w:b/>
                <w:sz w:val="16"/>
                <w:szCs w:val="16"/>
              </w:rPr>
            </w:pPr>
            <w:r>
              <w:rPr>
                <w:b/>
                <w:sz w:val="16"/>
                <w:szCs w:val="16"/>
              </w:rPr>
              <w:t>2</w:t>
            </w:r>
          </w:p>
        </w:tc>
        <w:tc>
          <w:tcPr>
            <w:tcW w:w="540" w:type="dxa"/>
          </w:tcPr>
          <w:p w:rsidR="00164E4A" w:rsidRPr="00CC50C0" w:rsidRDefault="00164E4A" w:rsidP="00164E4A">
            <w:pPr>
              <w:jc w:val="center"/>
              <w:rPr>
                <w:b/>
                <w:sz w:val="16"/>
                <w:szCs w:val="16"/>
              </w:rPr>
            </w:pPr>
            <w:r>
              <w:rPr>
                <w:b/>
                <w:sz w:val="16"/>
                <w:szCs w:val="16"/>
              </w:rPr>
              <w:t>2</w:t>
            </w:r>
          </w:p>
        </w:tc>
        <w:tc>
          <w:tcPr>
            <w:tcW w:w="630" w:type="dxa"/>
          </w:tcPr>
          <w:p w:rsidR="00164E4A" w:rsidRPr="00CC50C0" w:rsidRDefault="00164E4A" w:rsidP="00164E4A">
            <w:pPr>
              <w:jc w:val="center"/>
              <w:rPr>
                <w:b/>
                <w:sz w:val="16"/>
                <w:szCs w:val="16"/>
              </w:rPr>
            </w:pPr>
            <w:r>
              <w:rPr>
                <w:b/>
                <w:sz w:val="16"/>
                <w:szCs w:val="16"/>
              </w:rPr>
              <w:t>3</w:t>
            </w:r>
          </w:p>
        </w:tc>
        <w:tc>
          <w:tcPr>
            <w:tcW w:w="630" w:type="dxa"/>
          </w:tcPr>
          <w:p w:rsidR="00164E4A" w:rsidRPr="00CC50C0" w:rsidRDefault="00164E4A" w:rsidP="00164E4A">
            <w:pPr>
              <w:jc w:val="center"/>
              <w:rPr>
                <w:b/>
                <w:sz w:val="16"/>
                <w:szCs w:val="16"/>
              </w:rPr>
            </w:pPr>
            <w:r>
              <w:rPr>
                <w:b/>
                <w:sz w:val="16"/>
                <w:szCs w:val="16"/>
              </w:rPr>
              <w:t>4</w:t>
            </w:r>
          </w:p>
        </w:tc>
        <w:tc>
          <w:tcPr>
            <w:tcW w:w="630" w:type="dxa"/>
          </w:tcPr>
          <w:p w:rsidR="00164E4A" w:rsidRPr="00CC50C0" w:rsidRDefault="00164E4A" w:rsidP="00164E4A">
            <w:pPr>
              <w:jc w:val="center"/>
              <w:rPr>
                <w:b/>
                <w:sz w:val="16"/>
                <w:szCs w:val="16"/>
              </w:rPr>
            </w:pPr>
            <w:r>
              <w:rPr>
                <w:b/>
                <w:sz w:val="16"/>
                <w:szCs w:val="16"/>
              </w:rPr>
              <w:t>1</w:t>
            </w:r>
          </w:p>
        </w:tc>
        <w:tc>
          <w:tcPr>
            <w:tcW w:w="540" w:type="dxa"/>
          </w:tcPr>
          <w:p w:rsidR="00164E4A" w:rsidRPr="00CC50C0" w:rsidRDefault="00164E4A" w:rsidP="00164E4A">
            <w:pPr>
              <w:jc w:val="center"/>
              <w:rPr>
                <w:b/>
                <w:sz w:val="16"/>
                <w:szCs w:val="16"/>
              </w:rPr>
            </w:pPr>
            <w:r>
              <w:rPr>
                <w:b/>
                <w:sz w:val="16"/>
                <w:szCs w:val="16"/>
              </w:rPr>
              <w:t>0</w:t>
            </w:r>
          </w:p>
        </w:tc>
        <w:tc>
          <w:tcPr>
            <w:tcW w:w="540" w:type="dxa"/>
          </w:tcPr>
          <w:p w:rsidR="00164E4A" w:rsidRPr="00CC50C0" w:rsidRDefault="00164E4A" w:rsidP="00164E4A">
            <w:pPr>
              <w:jc w:val="center"/>
              <w:rPr>
                <w:b/>
                <w:sz w:val="16"/>
                <w:szCs w:val="16"/>
              </w:rPr>
            </w:pPr>
            <w:r>
              <w:rPr>
                <w:b/>
                <w:sz w:val="16"/>
                <w:szCs w:val="16"/>
              </w:rPr>
              <w:t>3</w:t>
            </w:r>
          </w:p>
        </w:tc>
        <w:tc>
          <w:tcPr>
            <w:tcW w:w="630" w:type="dxa"/>
          </w:tcPr>
          <w:p w:rsidR="00164E4A" w:rsidRPr="00CC50C0" w:rsidRDefault="00164E4A" w:rsidP="00164E4A">
            <w:pPr>
              <w:jc w:val="center"/>
              <w:rPr>
                <w:b/>
                <w:sz w:val="16"/>
                <w:szCs w:val="16"/>
              </w:rPr>
            </w:pPr>
            <w:r>
              <w:rPr>
                <w:b/>
                <w:sz w:val="16"/>
                <w:szCs w:val="16"/>
              </w:rPr>
              <w:t>3</w:t>
            </w:r>
          </w:p>
        </w:tc>
        <w:tc>
          <w:tcPr>
            <w:tcW w:w="630" w:type="dxa"/>
          </w:tcPr>
          <w:p w:rsidR="00164E4A" w:rsidRPr="00CC50C0" w:rsidRDefault="00164E4A" w:rsidP="00164E4A">
            <w:pPr>
              <w:jc w:val="center"/>
              <w:rPr>
                <w:b/>
                <w:sz w:val="16"/>
                <w:szCs w:val="16"/>
              </w:rPr>
            </w:pPr>
            <w:r>
              <w:rPr>
                <w:b/>
                <w:sz w:val="16"/>
                <w:szCs w:val="16"/>
              </w:rPr>
              <w:t>3</w:t>
            </w:r>
          </w:p>
        </w:tc>
        <w:tc>
          <w:tcPr>
            <w:tcW w:w="540" w:type="dxa"/>
          </w:tcPr>
          <w:p w:rsidR="00164E4A" w:rsidRPr="00CC50C0" w:rsidRDefault="00164E4A" w:rsidP="00164E4A">
            <w:pPr>
              <w:jc w:val="center"/>
              <w:rPr>
                <w:b/>
                <w:sz w:val="16"/>
                <w:szCs w:val="16"/>
              </w:rPr>
            </w:pPr>
            <w:r>
              <w:rPr>
                <w:b/>
                <w:sz w:val="16"/>
                <w:szCs w:val="16"/>
              </w:rPr>
              <w:t>3</w:t>
            </w:r>
          </w:p>
        </w:tc>
        <w:tc>
          <w:tcPr>
            <w:tcW w:w="630" w:type="dxa"/>
          </w:tcPr>
          <w:p w:rsidR="00164E4A" w:rsidRPr="00CC50C0" w:rsidRDefault="00164E4A" w:rsidP="00164E4A">
            <w:pPr>
              <w:jc w:val="center"/>
              <w:rPr>
                <w:b/>
                <w:sz w:val="16"/>
                <w:szCs w:val="16"/>
              </w:rPr>
            </w:pPr>
            <w:r>
              <w:rPr>
                <w:b/>
                <w:sz w:val="16"/>
                <w:szCs w:val="16"/>
              </w:rPr>
              <w:t>1</w:t>
            </w:r>
          </w:p>
        </w:tc>
        <w:tc>
          <w:tcPr>
            <w:tcW w:w="630" w:type="dxa"/>
          </w:tcPr>
          <w:p w:rsidR="00164E4A" w:rsidRPr="00CC50C0" w:rsidRDefault="00164E4A" w:rsidP="00164E4A">
            <w:pPr>
              <w:jc w:val="center"/>
              <w:rPr>
                <w:b/>
                <w:sz w:val="16"/>
                <w:szCs w:val="16"/>
              </w:rPr>
            </w:pPr>
            <w:r>
              <w:rPr>
                <w:b/>
                <w:sz w:val="16"/>
                <w:szCs w:val="16"/>
              </w:rPr>
              <w:t>1</w:t>
            </w:r>
          </w:p>
        </w:tc>
        <w:tc>
          <w:tcPr>
            <w:tcW w:w="990" w:type="dxa"/>
            <w:shd w:val="pct10" w:color="auto" w:fill="auto"/>
          </w:tcPr>
          <w:p w:rsidR="00164E4A" w:rsidRPr="001E02D1" w:rsidRDefault="00164E4A" w:rsidP="00164E4A">
            <w:pPr>
              <w:jc w:val="center"/>
              <w:rPr>
                <w:rFonts w:ascii="Arial Black" w:hAnsi="Arial Black"/>
                <w:sz w:val="16"/>
                <w:szCs w:val="16"/>
              </w:rPr>
            </w:pPr>
            <w:r>
              <w:rPr>
                <w:rFonts w:ascii="Arial Black" w:hAnsi="Arial Black"/>
                <w:sz w:val="16"/>
                <w:szCs w:val="16"/>
              </w:rPr>
              <w:t>26</w:t>
            </w:r>
          </w:p>
        </w:tc>
      </w:tr>
      <w:tr w:rsidR="00A90B6B" w:rsidRPr="00CF5C47" w:rsidTr="00A90B6B">
        <w:tc>
          <w:tcPr>
            <w:tcW w:w="2340" w:type="dxa"/>
            <w:shd w:val="clear" w:color="auto" w:fill="auto"/>
          </w:tcPr>
          <w:p w:rsidR="00164E4A" w:rsidRPr="00CF5C47" w:rsidRDefault="00164E4A" w:rsidP="00164E4A">
            <w:pPr>
              <w:pStyle w:val="ListParagraph"/>
              <w:ind w:left="0"/>
              <w:rPr>
                <w:sz w:val="16"/>
                <w:szCs w:val="16"/>
              </w:rPr>
            </w:pPr>
            <w:r w:rsidRPr="00CF5C47">
              <w:rPr>
                <w:b/>
                <w:sz w:val="16"/>
                <w:szCs w:val="16"/>
              </w:rPr>
              <w:t xml:space="preserve"> PY2</w:t>
            </w:r>
            <w:r w:rsidRPr="00CF5C47">
              <w:rPr>
                <w:sz w:val="16"/>
                <w:szCs w:val="16"/>
              </w:rPr>
              <w:t>-Unwanted Touching</w:t>
            </w:r>
          </w:p>
        </w:tc>
        <w:tc>
          <w:tcPr>
            <w:tcW w:w="630" w:type="dxa"/>
          </w:tcPr>
          <w:p w:rsidR="00164E4A" w:rsidRPr="00CC50C0" w:rsidRDefault="00164E4A" w:rsidP="00164E4A">
            <w:pPr>
              <w:jc w:val="center"/>
              <w:rPr>
                <w:b/>
                <w:sz w:val="16"/>
                <w:szCs w:val="16"/>
              </w:rPr>
            </w:pPr>
            <w:r>
              <w:rPr>
                <w:b/>
                <w:sz w:val="16"/>
                <w:szCs w:val="16"/>
              </w:rPr>
              <w:t>6</w:t>
            </w:r>
          </w:p>
        </w:tc>
        <w:tc>
          <w:tcPr>
            <w:tcW w:w="540" w:type="dxa"/>
          </w:tcPr>
          <w:p w:rsidR="00164E4A" w:rsidRPr="00CC50C0" w:rsidRDefault="00164E4A" w:rsidP="00164E4A">
            <w:pPr>
              <w:jc w:val="center"/>
              <w:rPr>
                <w:b/>
                <w:sz w:val="16"/>
                <w:szCs w:val="16"/>
              </w:rPr>
            </w:pPr>
            <w:r>
              <w:rPr>
                <w:b/>
                <w:sz w:val="16"/>
                <w:szCs w:val="16"/>
              </w:rPr>
              <w:t>5</w:t>
            </w:r>
          </w:p>
        </w:tc>
        <w:tc>
          <w:tcPr>
            <w:tcW w:w="630" w:type="dxa"/>
          </w:tcPr>
          <w:p w:rsidR="00164E4A" w:rsidRPr="00CC50C0" w:rsidRDefault="00164E4A" w:rsidP="00164E4A">
            <w:pPr>
              <w:jc w:val="center"/>
              <w:rPr>
                <w:b/>
                <w:sz w:val="16"/>
                <w:szCs w:val="16"/>
              </w:rPr>
            </w:pPr>
            <w:r>
              <w:rPr>
                <w:b/>
                <w:sz w:val="16"/>
                <w:szCs w:val="16"/>
              </w:rPr>
              <w:t>8</w:t>
            </w:r>
          </w:p>
        </w:tc>
        <w:tc>
          <w:tcPr>
            <w:tcW w:w="630" w:type="dxa"/>
          </w:tcPr>
          <w:p w:rsidR="00164E4A" w:rsidRPr="00CC50C0" w:rsidRDefault="00164E4A" w:rsidP="00164E4A">
            <w:pPr>
              <w:jc w:val="center"/>
              <w:rPr>
                <w:b/>
                <w:sz w:val="16"/>
                <w:szCs w:val="16"/>
              </w:rPr>
            </w:pPr>
            <w:r>
              <w:rPr>
                <w:b/>
                <w:sz w:val="16"/>
                <w:szCs w:val="16"/>
              </w:rPr>
              <w:t>6</w:t>
            </w:r>
          </w:p>
        </w:tc>
        <w:tc>
          <w:tcPr>
            <w:tcW w:w="630" w:type="dxa"/>
          </w:tcPr>
          <w:p w:rsidR="00164E4A" w:rsidRPr="00CC50C0" w:rsidRDefault="00164E4A" w:rsidP="00164E4A">
            <w:pPr>
              <w:jc w:val="center"/>
              <w:rPr>
                <w:b/>
                <w:sz w:val="16"/>
                <w:szCs w:val="16"/>
              </w:rPr>
            </w:pPr>
            <w:r>
              <w:rPr>
                <w:b/>
                <w:sz w:val="16"/>
                <w:szCs w:val="16"/>
              </w:rPr>
              <w:t>4</w:t>
            </w:r>
          </w:p>
        </w:tc>
        <w:tc>
          <w:tcPr>
            <w:tcW w:w="540" w:type="dxa"/>
          </w:tcPr>
          <w:p w:rsidR="00164E4A" w:rsidRPr="00CC50C0" w:rsidRDefault="00164E4A" w:rsidP="00164E4A">
            <w:pPr>
              <w:jc w:val="center"/>
              <w:rPr>
                <w:b/>
                <w:sz w:val="16"/>
                <w:szCs w:val="16"/>
              </w:rPr>
            </w:pPr>
            <w:r>
              <w:rPr>
                <w:b/>
                <w:sz w:val="16"/>
                <w:szCs w:val="16"/>
              </w:rPr>
              <w:t>5</w:t>
            </w:r>
          </w:p>
        </w:tc>
        <w:tc>
          <w:tcPr>
            <w:tcW w:w="540" w:type="dxa"/>
          </w:tcPr>
          <w:p w:rsidR="00164E4A" w:rsidRPr="00CC50C0" w:rsidRDefault="00164E4A" w:rsidP="00164E4A">
            <w:pPr>
              <w:jc w:val="center"/>
              <w:rPr>
                <w:b/>
                <w:sz w:val="16"/>
                <w:szCs w:val="16"/>
              </w:rPr>
            </w:pPr>
            <w:r>
              <w:rPr>
                <w:b/>
                <w:sz w:val="16"/>
                <w:szCs w:val="16"/>
              </w:rPr>
              <w:t>4</w:t>
            </w:r>
          </w:p>
        </w:tc>
        <w:tc>
          <w:tcPr>
            <w:tcW w:w="630" w:type="dxa"/>
          </w:tcPr>
          <w:p w:rsidR="00164E4A" w:rsidRPr="00CC50C0" w:rsidRDefault="00164E4A" w:rsidP="00164E4A">
            <w:pPr>
              <w:jc w:val="center"/>
              <w:rPr>
                <w:b/>
                <w:sz w:val="16"/>
                <w:szCs w:val="16"/>
              </w:rPr>
            </w:pPr>
            <w:r>
              <w:rPr>
                <w:b/>
                <w:sz w:val="16"/>
                <w:szCs w:val="16"/>
              </w:rPr>
              <w:t>3</w:t>
            </w:r>
          </w:p>
        </w:tc>
        <w:tc>
          <w:tcPr>
            <w:tcW w:w="630" w:type="dxa"/>
          </w:tcPr>
          <w:p w:rsidR="00164E4A" w:rsidRPr="00CC50C0" w:rsidRDefault="00164E4A" w:rsidP="00164E4A">
            <w:pPr>
              <w:jc w:val="center"/>
              <w:rPr>
                <w:b/>
                <w:sz w:val="16"/>
                <w:szCs w:val="16"/>
              </w:rPr>
            </w:pPr>
            <w:r>
              <w:rPr>
                <w:b/>
                <w:sz w:val="16"/>
                <w:szCs w:val="16"/>
              </w:rPr>
              <w:t>3</w:t>
            </w:r>
          </w:p>
        </w:tc>
        <w:tc>
          <w:tcPr>
            <w:tcW w:w="540" w:type="dxa"/>
          </w:tcPr>
          <w:p w:rsidR="00164E4A" w:rsidRPr="00CC50C0" w:rsidRDefault="00164E4A" w:rsidP="00164E4A">
            <w:pPr>
              <w:jc w:val="center"/>
              <w:rPr>
                <w:b/>
                <w:sz w:val="16"/>
                <w:szCs w:val="16"/>
              </w:rPr>
            </w:pPr>
            <w:r>
              <w:rPr>
                <w:b/>
                <w:sz w:val="16"/>
                <w:szCs w:val="16"/>
              </w:rPr>
              <w:t>2</w:t>
            </w:r>
          </w:p>
        </w:tc>
        <w:tc>
          <w:tcPr>
            <w:tcW w:w="630" w:type="dxa"/>
          </w:tcPr>
          <w:p w:rsidR="00164E4A" w:rsidRPr="00CC50C0" w:rsidRDefault="00164E4A" w:rsidP="00164E4A">
            <w:pPr>
              <w:jc w:val="center"/>
              <w:rPr>
                <w:b/>
                <w:sz w:val="16"/>
                <w:szCs w:val="16"/>
              </w:rPr>
            </w:pPr>
            <w:r>
              <w:rPr>
                <w:b/>
                <w:sz w:val="16"/>
                <w:szCs w:val="16"/>
              </w:rPr>
              <w:t>3</w:t>
            </w:r>
          </w:p>
        </w:tc>
        <w:tc>
          <w:tcPr>
            <w:tcW w:w="630" w:type="dxa"/>
          </w:tcPr>
          <w:p w:rsidR="00164E4A" w:rsidRPr="00CC50C0" w:rsidRDefault="00164E4A" w:rsidP="00164E4A">
            <w:pPr>
              <w:jc w:val="center"/>
              <w:rPr>
                <w:b/>
                <w:sz w:val="16"/>
                <w:szCs w:val="16"/>
              </w:rPr>
            </w:pPr>
            <w:r>
              <w:rPr>
                <w:b/>
                <w:sz w:val="16"/>
                <w:szCs w:val="16"/>
              </w:rPr>
              <w:t>1</w:t>
            </w:r>
          </w:p>
        </w:tc>
        <w:tc>
          <w:tcPr>
            <w:tcW w:w="990" w:type="dxa"/>
            <w:shd w:val="pct10" w:color="auto" w:fill="auto"/>
          </w:tcPr>
          <w:p w:rsidR="00164E4A" w:rsidRPr="001E02D1" w:rsidRDefault="00164E4A" w:rsidP="00164E4A">
            <w:pPr>
              <w:jc w:val="center"/>
              <w:rPr>
                <w:rFonts w:ascii="Arial Black" w:hAnsi="Arial Black"/>
                <w:sz w:val="16"/>
                <w:szCs w:val="16"/>
              </w:rPr>
            </w:pPr>
            <w:r>
              <w:rPr>
                <w:rFonts w:ascii="Arial Black" w:hAnsi="Arial Black"/>
                <w:sz w:val="16"/>
                <w:szCs w:val="16"/>
              </w:rPr>
              <w:t>50</w:t>
            </w:r>
          </w:p>
        </w:tc>
      </w:tr>
      <w:tr w:rsidR="00A90B6B" w:rsidRPr="00CF5C47" w:rsidTr="00A90B6B">
        <w:tc>
          <w:tcPr>
            <w:tcW w:w="2340" w:type="dxa"/>
            <w:shd w:val="clear" w:color="auto" w:fill="auto"/>
          </w:tcPr>
          <w:p w:rsidR="00164E4A" w:rsidRPr="00CF5C47" w:rsidRDefault="00164E4A" w:rsidP="00164E4A">
            <w:pPr>
              <w:pStyle w:val="ListParagraph"/>
              <w:ind w:left="0"/>
              <w:rPr>
                <w:sz w:val="16"/>
                <w:szCs w:val="16"/>
              </w:rPr>
            </w:pPr>
            <w:r w:rsidRPr="00CF5C47">
              <w:rPr>
                <w:sz w:val="16"/>
                <w:szCs w:val="16"/>
              </w:rPr>
              <w:t xml:space="preserve"> </w:t>
            </w:r>
            <w:r w:rsidRPr="00CF5C47">
              <w:rPr>
                <w:b/>
                <w:sz w:val="16"/>
                <w:szCs w:val="16"/>
              </w:rPr>
              <w:t>PY3</w:t>
            </w:r>
            <w:r w:rsidRPr="00CF5C47">
              <w:rPr>
                <w:sz w:val="16"/>
                <w:szCs w:val="16"/>
              </w:rPr>
              <w:t>- Harassment</w:t>
            </w:r>
          </w:p>
        </w:tc>
        <w:tc>
          <w:tcPr>
            <w:tcW w:w="630" w:type="dxa"/>
          </w:tcPr>
          <w:p w:rsidR="00164E4A" w:rsidRPr="00CC50C0" w:rsidRDefault="00164E4A" w:rsidP="00164E4A">
            <w:pPr>
              <w:jc w:val="center"/>
              <w:rPr>
                <w:b/>
                <w:sz w:val="16"/>
                <w:szCs w:val="16"/>
              </w:rPr>
            </w:pPr>
            <w:r>
              <w:rPr>
                <w:b/>
                <w:sz w:val="16"/>
                <w:szCs w:val="16"/>
              </w:rPr>
              <w:t>5</w:t>
            </w:r>
          </w:p>
        </w:tc>
        <w:tc>
          <w:tcPr>
            <w:tcW w:w="540" w:type="dxa"/>
          </w:tcPr>
          <w:p w:rsidR="00164E4A" w:rsidRPr="00CC50C0" w:rsidRDefault="00164E4A" w:rsidP="00164E4A">
            <w:pPr>
              <w:jc w:val="center"/>
              <w:rPr>
                <w:b/>
                <w:sz w:val="16"/>
                <w:szCs w:val="16"/>
              </w:rPr>
            </w:pPr>
            <w:r>
              <w:rPr>
                <w:b/>
                <w:sz w:val="16"/>
                <w:szCs w:val="16"/>
              </w:rPr>
              <w:t>5</w:t>
            </w:r>
          </w:p>
        </w:tc>
        <w:tc>
          <w:tcPr>
            <w:tcW w:w="630" w:type="dxa"/>
          </w:tcPr>
          <w:p w:rsidR="00164E4A" w:rsidRPr="00CC50C0" w:rsidRDefault="00164E4A" w:rsidP="00164E4A">
            <w:pPr>
              <w:jc w:val="center"/>
              <w:rPr>
                <w:b/>
                <w:sz w:val="16"/>
                <w:szCs w:val="16"/>
              </w:rPr>
            </w:pPr>
            <w:r>
              <w:rPr>
                <w:b/>
                <w:sz w:val="16"/>
                <w:szCs w:val="16"/>
              </w:rPr>
              <w:t>5</w:t>
            </w:r>
          </w:p>
        </w:tc>
        <w:tc>
          <w:tcPr>
            <w:tcW w:w="630" w:type="dxa"/>
          </w:tcPr>
          <w:p w:rsidR="00164E4A" w:rsidRPr="00CC50C0" w:rsidRDefault="00164E4A" w:rsidP="00164E4A">
            <w:pPr>
              <w:jc w:val="center"/>
              <w:rPr>
                <w:b/>
                <w:sz w:val="16"/>
                <w:szCs w:val="16"/>
              </w:rPr>
            </w:pPr>
            <w:r>
              <w:rPr>
                <w:b/>
                <w:sz w:val="16"/>
                <w:szCs w:val="16"/>
              </w:rPr>
              <w:t>3</w:t>
            </w:r>
          </w:p>
        </w:tc>
        <w:tc>
          <w:tcPr>
            <w:tcW w:w="630" w:type="dxa"/>
          </w:tcPr>
          <w:p w:rsidR="00164E4A" w:rsidRPr="00CC50C0" w:rsidRDefault="00164E4A" w:rsidP="00164E4A">
            <w:pPr>
              <w:jc w:val="center"/>
              <w:rPr>
                <w:b/>
                <w:sz w:val="16"/>
                <w:szCs w:val="16"/>
              </w:rPr>
            </w:pPr>
            <w:r>
              <w:rPr>
                <w:b/>
                <w:sz w:val="16"/>
                <w:szCs w:val="16"/>
              </w:rPr>
              <w:t>10</w:t>
            </w:r>
          </w:p>
        </w:tc>
        <w:tc>
          <w:tcPr>
            <w:tcW w:w="540" w:type="dxa"/>
          </w:tcPr>
          <w:p w:rsidR="00164E4A" w:rsidRPr="00CC50C0" w:rsidRDefault="00164E4A" w:rsidP="00164E4A">
            <w:pPr>
              <w:jc w:val="center"/>
              <w:rPr>
                <w:b/>
                <w:sz w:val="16"/>
                <w:szCs w:val="16"/>
              </w:rPr>
            </w:pPr>
            <w:r>
              <w:rPr>
                <w:b/>
                <w:sz w:val="16"/>
                <w:szCs w:val="16"/>
              </w:rPr>
              <w:t>7</w:t>
            </w:r>
          </w:p>
        </w:tc>
        <w:tc>
          <w:tcPr>
            <w:tcW w:w="540" w:type="dxa"/>
          </w:tcPr>
          <w:p w:rsidR="00164E4A" w:rsidRPr="00CC50C0" w:rsidRDefault="00164E4A" w:rsidP="00164E4A">
            <w:pPr>
              <w:jc w:val="center"/>
              <w:rPr>
                <w:b/>
                <w:sz w:val="16"/>
                <w:szCs w:val="16"/>
              </w:rPr>
            </w:pPr>
            <w:r>
              <w:rPr>
                <w:b/>
                <w:sz w:val="16"/>
                <w:szCs w:val="16"/>
              </w:rPr>
              <w:t>4</w:t>
            </w:r>
          </w:p>
        </w:tc>
        <w:tc>
          <w:tcPr>
            <w:tcW w:w="630" w:type="dxa"/>
          </w:tcPr>
          <w:p w:rsidR="00164E4A" w:rsidRPr="00CC50C0" w:rsidRDefault="00164E4A" w:rsidP="00164E4A">
            <w:pPr>
              <w:jc w:val="center"/>
              <w:rPr>
                <w:b/>
                <w:sz w:val="16"/>
                <w:szCs w:val="16"/>
              </w:rPr>
            </w:pPr>
            <w:r>
              <w:rPr>
                <w:b/>
                <w:sz w:val="16"/>
                <w:szCs w:val="16"/>
              </w:rPr>
              <w:t>6</w:t>
            </w:r>
          </w:p>
        </w:tc>
        <w:tc>
          <w:tcPr>
            <w:tcW w:w="630" w:type="dxa"/>
          </w:tcPr>
          <w:p w:rsidR="00164E4A" w:rsidRPr="00CC50C0" w:rsidRDefault="00164E4A" w:rsidP="00164E4A">
            <w:pPr>
              <w:jc w:val="center"/>
              <w:rPr>
                <w:b/>
                <w:sz w:val="16"/>
                <w:szCs w:val="16"/>
              </w:rPr>
            </w:pPr>
            <w:r>
              <w:rPr>
                <w:b/>
                <w:sz w:val="16"/>
                <w:szCs w:val="16"/>
              </w:rPr>
              <w:t>5</w:t>
            </w:r>
          </w:p>
        </w:tc>
        <w:tc>
          <w:tcPr>
            <w:tcW w:w="540" w:type="dxa"/>
          </w:tcPr>
          <w:p w:rsidR="00164E4A" w:rsidRPr="00CC50C0" w:rsidRDefault="00164E4A" w:rsidP="00164E4A">
            <w:pPr>
              <w:jc w:val="center"/>
              <w:rPr>
                <w:b/>
                <w:sz w:val="16"/>
                <w:szCs w:val="16"/>
              </w:rPr>
            </w:pPr>
            <w:r>
              <w:rPr>
                <w:b/>
                <w:sz w:val="16"/>
                <w:szCs w:val="16"/>
              </w:rPr>
              <w:t>3</w:t>
            </w:r>
          </w:p>
        </w:tc>
        <w:tc>
          <w:tcPr>
            <w:tcW w:w="630" w:type="dxa"/>
          </w:tcPr>
          <w:p w:rsidR="00164E4A" w:rsidRPr="00CC50C0" w:rsidRDefault="00164E4A" w:rsidP="00164E4A">
            <w:pPr>
              <w:jc w:val="center"/>
              <w:rPr>
                <w:b/>
                <w:sz w:val="16"/>
                <w:szCs w:val="16"/>
              </w:rPr>
            </w:pPr>
            <w:r>
              <w:rPr>
                <w:b/>
                <w:sz w:val="16"/>
                <w:szCs w:val="16"/>
              </w:rPr>
              <w:t>7</w:t>
            </w:r>
          </w:p>
        </w:tc>
        <w:tc>
          <w:tcPr>
            <w:tcW w:w="630" w:type="dxa"/>
          </w:tcPr>
          <w:p w:rsidR="00164E4A" w:rsidRPr="00CC50C0" w:rsidRDefault="00164E4A" w:rsidP="00164E4A">
            <w:pPr>
              <w:jc w:val="center"/>
              <w:rPr>
                <w:b/>
                <w:sz w:val="16"/>
                <w:szCs w:val="16"/>
              </w:rPr>
            </w:pPr>
            <w:r>
              <w:rPr>
                <w:b/>
                <w:sz w:val="16"/>
                <w:szCs w:val="16"/>
              </w:rPr>
              <w:t>4</w:t>
            </w:r>
          </w:p>
        </w:tc>
        <w:tc>
          <w:tcPr>
            <w:tcW w:w="990" w:type="dxa"/>
            <w:shd w:val="pct10" w:color="auto" w:fill="auto"/>
          </w:tcPr>
          <w:p w:rsidR="00164E4A" w:rsidRPr="001E02D1" w:rsidRDefault="00164E4A" w:rsidP="00164E4A">
            <w:pPr>
              <w:jc w:val="center"/>
              <w:rPr>
                <w:rFonts w:ascii="Arial Black" w:hAnsi="Arial Black"/>
                <w:sz w:val="16"/>
                <w:szCs w:val="16"/>
              </w:rPr>
            </w:pPr>
            <w:r>
              <w:rPr>
                <w:rFonts w:ascii="Arial Black" w:hAnsi="Arial Black"/>
                <w:sz w:val="16"/>
                <w:szCs w:val="16"/>
              </w:rPr>
              <w:t>64</w:t>
            </w:r>
          </w:p>
        </w:tc>
      </w:tr>
      <w:tr w:rsidR="00A90B6B" w:rsidRPr="00CF5C47" w:rsidTr="00A90B6B">
        <w:tc>
          <w:tcPr>
            <w:tcW w:w="2340" w:type="dxa"/>
            <w:shd w:val="clear" w:color="auto" w:fill="auto"/>
          </w:tcPr>
          <w:p w:rsidR="00164E4A" w:rsidRPr="00CF5C47" w:rsidRDefault="00164E4A" w:rsidP="00164E4A">
            <w:pPr>
              <w:pStyle w:val="ListParagraph"/>
              <w:ind w:left="0"/>
              <w:rPr>
                <w:sz w:val="16"/>
                <w:szCs w:val="16"/>
              </w:rPr>
            </w:pPr>
            <w:r w:rsidRPr="00CF5C47">
              <w:rPr>
                <w:sz w:val="16"/>
                <w:szCs w:val="16"/>
              </w:rPr>
              <w:t xml:space="preserve"> </w:t>
            </w:r>
            <w:r w:rsidRPr="00CF5C47">
              <w:rPr>
                <w:b/>
                <w:sz w:val="16"/>
                <w:szCs w:val="16"/>
              </w:rPr>
              <w:t>PS1</w:t>
            </w:r>
            <w:r w:rsidRPr="00CF5C47">
              <w:rPr>
                <w:sz w:val="16"/>
                <w:szCs w:val="16"/>
              </w:rPr>
              <w:t>- Sexual Penetration</w:t>
            </w:r>
          </w:p>
        </w:tc>
        <w:tc>
          <w:tcPr>
            <w:tcW w:w="630" w:type="dxa"/>
          </w:tcPr>
          <w:p w:rsidR="00164E4A" w:rsidRPr="00CC50C0" w:rsidRDefault="00164E4A" w:rsidP="00164E4A">
            <w:pPr>
              <w:jc w:val="center"/>
              <w:rPr>
                <w:b/>
                <w:sz w:val="16"/>
                <w:szCs w:val="16"/>
              </w:rPr>
            </w:pPr>
            <w:r>
              <w:rPr>
                <w:b/>
                <w:sz w:val="16"/>
                <w:szCs w:val="16"/>
              </w:rPr>
              <w:t>4</w:t>
            </w:r>
          </w:p>
        </w:tc>
        <w:tc>
          <w:tcPr>
            <w:tcW w:w="540" w:type="dxa"/>
          </w:tcPr>
          <w:p w:rsidR="00164E4A" w:rsidRPr="00CC50C0" w:rsidRDefault="00164E4A" w:rsidP="00164E4A">
            <w:pPr>
              <w:jc w:val="center"/>
              <w:rPr>
                <w:b/>
                <w:sz w:val="16"/>
                <w:szCs w:val="16"/>
              </w:rPr>
            </w:pPr>
            <w:r>
              <w:rPr>
                <w:b/>
                <w:sz w:val="16"/>
                <w:szCs w:val="16"/>
              </w:rPr>
              <w:t>1</w:t>
            </w:r>
          </w:p>
        </w:tc>
        <w:tc>
          <w:tcPr>
            <w:tcW w:w="630" w:type="dxa"/>
          </w:tcPr>
          <w:p w:rsidR="00164E4A" w:rsidRPr="00CC50C0" w:rsidRDefault="00164E4A" w:rsidP="00164E4A">
            <w:pPr>
              <w:jc w:val="center"/>
              <w:rPr>
                <w:b/>
                <w:sz w:val="16"/>
                <w:szCs w:val="16"/>
              </w:rPr>
            </w:pPr>
            <w:r>
              <w:rPr>
                <w:b/>
                <w:sz w:val="16"/>
                <w:szCs w:val="16"/>
              </w:rPr>
              <w:t>0</w:t>
            </w:r>
          </w:p>
        </w:tc>
        <w:tc>
          <w:tcPr>
            <w:tcW w:w="630" w:type="dxa"/>
          </w:tcPr>
          <w:p w:rsidR="00164E4A" w:rsidRPr="00CC50C0" w:rsidRDefault="00164E4A" w:rsidP="00164E4A">
            <w:pPr>
              <w:jc w:val="center"/>
              <w:rPr>
                <w:b/>
                <w:sz w:val="16"/>
                <w:szCs w:val="16"/>
              </w:rPr>
            </w:pPr>
            <w:r>
              <w:rPr>
                <w:b/>
                <w:sz w:val="16"/>
                <w:szCs w:val="16"/>
              </w:rPr>
              <w:t>1</w:t>
            </w:r>
          </w:p>
        </w:tc>
        <w:tc>
          <w:tcPr>
            <w:tcW w:w="630" w:type="dxa"/>
          </w:tcPr>
          <w:p w:rsidR="00164E4A" w:rsidRPr="00CC50C0" w:rsidRDefault="00164E4A" w:rsidP="00164E4A">
            <w:pPr>
              <w:jc w:val="center"/>
              <w:rPr>
                <w:b/>
                <w:sz w:val="16"/>
                <w:szCs w:val="16"/>
              </w:rPr>
            </w:pPr>
            <w:r>
              <w:rPr>
                <w:b/>
                <w:sz w:val="16"/>
                <w:szCs w:val="16"/>
              </w:rPr>
              <w:t>0</w:t>
            </w:r>
          </w:p>
        </w:tc>
        <w:tc>
          <w:tcPr>
            <w:tcW w:w="540" w:type="dxa"/>
          </w:tcPr>
          <w:p w:rsidR="00164E4A" w:rsidRPr="00CC50C0" w:rsidRDefault="00164E4A" w:rsidP="00164E4A">
            <w:pPr>
              <w:jc w:val="center"/>
              <w:rPr>
                <w:b/>
                <w:sz w:val="16"/>
                <w:szCs w:val="16"/>
              </w:rPr>
            </w:pPr>
            <w:r>
              <w:rPr>
                <w:b/>
                <w:sz w:val="16"/>
                <w:szCs w:val="16"/>
              </w:rPr>
              <w:t>2</w:t>
            </w:r>
          </w:p>
        </w:tc>
        <w:tc>
          <w:tcPr>
            <w:tcW w:w="540" w:type="dxa"/>
          </w:tcPr>
          <w:p w:rsidR="00164E4A" w:rsidRPr="00CC50C0" w:rsidRDefault="00164E4A" w:rsidP="00164E4A">
            <w:pPr>
              <w:jc w:val="center"/>
              <w:rPr>
                <w:b/>
                <w:sz w:val="16"/>
                <w:szCs w:val="16"/>
              </w:rPr>
            </w:pPr>
            <w:r>
              <w:rPr>
                <w:b/>
                <w:sz w:val="16"/>
                <w:szCs w:val="16"/>
              </w:rPr>
              <w:t>0</w:t>
            </w:r>
          </w:p>
        </w:tc>
        <w:tc>
          <w:tcPr>
            <w:tcW w:w="630" w:type="dxa"/>
          </w:tcPr>
          <w:p w:rsidR="00164E4A" w:rsidRPr="00CC50C0" w:rsidRDefault="00164E4A" w:rsidP="00164E4A">
            <w:pPr>
              <w:jc w:val="center"/>
              <w:rPr>
                <w:b/>
                <w:sz w:val="16"/>
                <w:szCs w:val="16"/>
              </w:rPr>
            </w:pPr>
            <w:r>
              <w:rPr>
                <w:b/>
                <w:sz w:val="16"/>
                <w:szCs w:val="16"/>
              </w:rPr>
              <w:t>0</w:t>
            </w:r>
          </w:p>
        </w:tc>
        <w:tc>
          <w:tcPr>
            <w:tcW w:w="630" w:type="dxa"/>
          </w:tcPr>
          <w:p w:rsidR="00164E4A" w:rsidRPr="00CC50C0" w:rsidRDefault="00164E4A" w:rsidP="00164E4A">
            <w:pPr>
              <w:jc w:val="center"/>
              <w:rPr>
                <w:b/>
                <w:sz w:val="16"/>
                <w:szCs w:val="16"/>
              </w:rPr>
            </w:pPr>
            <w:r>
              <w:rPr>
                <w:b/>
                <w:sz w:val="16"/>
                <w:szCs w:val="16"/>
              </w:rPr>
              <w:t>3</w:t>
            </w:r>
          </w:p>
        </w:tc>
        <w:tc>
          <w:tcPr>
            <w:tcW w:w="540" w:type="dxa"/>
          </w:tcPr>
          <w:p w:rsidR="00164E4A" w:rsidRPr="00CC50C0" w:rsidRDefault="00164E4A" w:rsidP="00164E4A">
            <w:pPr>
              <w:jc w:val="center"/>
              <w:rPr>
                <w:b/>
                <w:sz w:val="16"/>
                <w:szCs w:val="16"/>
              </w:rPr>
            </w:pPr>
            <w:r>
              <w:rPr>
                <w:b/>
                <w:sz w:val="16"/>
                <w:szCs w:val="16"/>
              </w:rPr>
              <w:t>1</w:t>
            </w:r>
          </w:p>
        </w:tc>
        <w:tc>
          <w:tcPr>
            <w:tcW w:w="630" w:type="dxa"/>
          </w:tcPr>
          <w:p w:rsidR="00164E4A" w:rsidRPr="00CC50C0" w:rsidRDefault="00164E4A" w:rsidP="00164E4A">
            <w:pPr>
              <w:jc w:val="center"/>
              <w:rPr>
                <w:b/>
                <w:sz w:val="16"/>
                <w:szCs w:val="16"/>
              </w:rPr>
            </w:pPr>
            <w:r>
              <w:rPr>
                <w:b/>
                <w:sz w:val="16"/>
                <w:szCs w:val="16"/>
              </w:rPr>
              <w:t>0</w:t>
            </w:r>
          </w:p>
        </w:tc>
        <w:tc>
          <w:tcPr>
            <w:tcW w:w="630" w:type="dxa"/>
          </w:tcPr>
          <w:p w:rsidR="00164E4A" w:rsidRPr="00CC50C0" w:rsidRDefault="00164E4A" w:rsidP="00164E4A">
            <w:pPr>
              <w:jc w:val="center"/>
              <w:rPr>
                <w:b/>
                <w:sz w:val="16"/>
                <w:szCs w:val="16"/>
              </w:rPr>
            </w:pPr>
            <w:r>
              <w:rPr>
                <w:b/>
                <w:sz w:val="16"/>
                <w:szCs w:val="16"/>
              </w:rPr>
              <w:t>2</w:t>
            </w:r>
          </w:p>
        </w:tc>
        <w:tc>
          <w:tcPr>
            <w:tcW w:w="990" w:type="dxa"/>
            <w:shd w:val="pct10" w:color="auto" w:fill="auto"/>
          </w:tcPr>
          <w:p w:rsidR="00164E4A" w:rsidRPr="001E02D1" w:rsidRDefault="00164E4A" w:rsidP="00164E4A">
            <w:pPr>
              <w:jc w:val="center"/>
              <w:rPr>
                <w:rFonts w:ascii="Arial Black" w:hAnsi="Arial Black"/>
                <w:sz w:val="16"/>
                <w:szCs w:val="16"/>
              </w:rPr>
            </w:pPr>
            <w:r>
              <w:rPr>
                <w:rFonts w:ascii="Arial Black" w:hAnsi="Arial Black"/>
                <w:sz w:val="16"/>
                <w:szCs w:val="16"/>
              </w:rPr>
              <w:t>14</w:t>
            </w:r>
          </w:p>
        </w:tc>
      </w:tr>
      <w:tr w:rsidR="00A90B6B" w:rsidRPr="00CF5C47" w:rsidTr="00A90B6B">
        <w:tc>
          <w:tcPr>
            <w:tcW w:w="2340" w:type="dxa"/>
            <w:shd w:val="clear" w:color="auto" w:fill="auto"/>
          </w:tcPr>
          <w:p w:rsidR="00164E4A" w:rsidRPr="00CF5C47" w:rsidRDefault="00164E4A" w:rsidP="00164E4A">
            <w:pPr>
              <w:pStyle w:val="ListParagraph"/>
              <w:ind w:left="0"/>
              <w:rPr>
                <w:sz w:val="16"/>
                <w:szCs w:val="16"/>
              </w:rPr>
            </w:pPr>
            <w:r w:rsidRPr="00CF5C47">
              <w:rPr>
                <w:sz w:val="16"/>
                <w:szCs w:val="16"/>
              </w:rPr>
              <w:t xml:space="preserve"> </w:t>
            </w:r>
            <w:r w:rsidRPr="00CF5C47">
              <w:rPr>
                <w:b/>
                <w:sz w:val="16"/>
                <w:szCs w:val="16"/>
              </w:rPr>
              <w:t>PS2</w:t>
            </w:r>
            <w:r w:rsidRPr="00CF5C47">
              <w:rPr>
                <w:sz w:val="16"/>
                <w:szCs w:val="16"/>
              </w:rPr>
              <w:t>- Non Penetration (Touching)</w:t>
            </w:r>
          </w:p>
        </w:tc>
        <w:tc>
          <w:tcPr>
            <w:tcW w:w="630" w:type="dxa"/>
          </w:tcPr>
          <w:p w:rsidR="00164E4A" w:rsidRPr="00CC50C0" w:rsidRDefault="00164E4A" w:rsidP="00164E4A">
            <w:pPr>
              <w:jc w:val="center"/>
              <w:rPr>
                <w:b/>
                <w:sz w:val="16"/>
                <w:szCs w:val="16"/>
              </w:rPr>
            </w:pPr>
            <w:r>
              <w:rPr>
                <w:b/>
                <w:sz w:val="16"/>
                <w:szCs w:val="16"/>
              </w:rPr>
              <w:t>3</w:t>
            </w:r>
          </w:p>
        </w:tc>
        <w:tc>
          <w:tcPr>
            <w:tcW w:w="540" w:type="dxa"/>
          </w:tcPr>
          <w:p w:rsidR="00164E4A" w:rsidRPr="00CC50C0" w:rsidRDefault="00164E4A" w:rsidP="00164E4A">
            <w:pPr>
              <w:jc w:val="center"/>
              <w:rPr>
                <w:b/>
                <w:sz w:val="16"/>
                <w:szCs w:val="16"/>
              </w:rPr>
            </w:pPr>
            <w:r>
              <w:rPr>
                <w:b/>
                <w:sz w:val="16"/>
                <w:szCs w:val="16"/>
              </w:rPr>
              <w:t>0</w:t>
            </w:r>
          </w:p>
        </w:tc>
        <w:tc>
          <w:tcPr>
            <w:tcW w:w="630" w:type="dxa"/>
          </w:tcPr>
          <w:p w:rsidR="00164E4A" w:rsidRPr="00CC50C0" w:rsidRDefault="00164E4A" w:rsidP="00164E4A">
            <w:pPr>
              <w:jc w:val="center"/>
              <w:rPr>
                <w:b/>
                <w:sz w:val="16"/>
                <w:szCs w:val="16"/>
              </w:rPr>
            </w:pPr>
            <w:r>
              <w:rPr>
                <w:b/>
                <w:sz w:val="16"/>
                <w:szCs w:val="16"/>
              </w:rPr>
              <w:t>2</w:t>
            </w:r>
          </w:p>
        </w:tc>
        <w:tc>
          <w:tcPr>
            <w:tcW w:w="630" w:type="dxa"/>
          </w:tcPr>
          <w:p w:rsidR="00164E4A" w:rsidRPr="00CC50C0" w:rsidRDefault="00164E4A" w:rsidP="00164E4A">
            <w:pPr>
              <w:jc w:val="center"/>
              <w:rPr>
                <w:b/>
                <w:sz w:val="16"/>
                <w:szCs w:val="16"/>
              </w:rPr>
            </w:pPr>
            <w:r>
              <w:rPr>
                <w:b/>
                <w:sz w:val="16"/>
                <w:szCs w:val="16"/>
              </w:rPr>
              <w:t>1</w:t>
            </w:r>
          </w:p>
        </w:tc>
        <w:tc>
          <w:tcPr>
            <w:tcW w:w="630" w:type="dxa"/>
          </w:tcPr>
          <w:p w:rsidR="00164E4A" w:rsidRPr="00CC50C0" w:rsidRDefault="00164E4A" w:rsidP="00164E4A">
            <w:pPr>
              <w:jc w:val="center"/>
              <w:rPr>
                <w:b/>
                <w:sz w:val="16"/>
                <w:szCs w:val="16"/>
              </w:rPr>
            </w:pPr>
            <w:r>
              <w:rPr>
                <w:b/>
                <w:sz w:val="16"/>
                <w:szCs w:val="16"/>
              </w:rPr>
              <w:t>0</w:t>
            </w:r>
          </w:p>
        </w:tc>
        <w:tc>
          <w:tcPr>
            <w:tcW w:w="540" w:type="dxa"/>
          </w:tcPr>
          <w:p w:rsidR="00164E4A" w:rsidRPr="00CC50C0" w:rsidRDefault="00164E4A" w:rsidP="00164E4A">
            <w:pPr>
              <w:jc w:val="center"/>
              <w:rPr>
                <w:b/>
                <w:sz w:val="16"/>
                <w:szCs w:val="16"/>
              </w:rPr>
            </w:pPr>
            <w:r>
              <w:rPr>
                <w:b/>
                <w:sz w:val="16"/>
                <w:szCs w:val="16"/>
              </w:rPr>
              <w:t>1</w:t>
            </w:r>
          </w:p>
        </w:tc>
        <w:tc>
          <w:tcPr>
            <w:tcW w:w="540" w:type="dxa"/>
          </w:tcPr>
          <w:p w:rsidR="00164E4A" w:rsidRPr="00CC50C0" w:rsidRDefault="00164E4A" w:rsidP="00164E4A">
            <w:pPr>
              <w:jc w:val="center"/>
              <w:rPr>
                <w:b/>
                <w:sz w:val="16"/>
                <w:szCs w:val="16"/>
              </w:rPr>
            </w:pPr>
            <w:r>
              <w:rPr>
                <w:b/>
                <w:sz w:val="16"/>
                <w:szCs w:val="16"/>
              </w:rPr>
              <w:t>3</w:t>
            </w:r>
          </w:p>
        </w:tc>
        <w:tc>
          <w:tcPr>
            <w:tcW w:w="630" w:type="dxa"/>
          </w:tcPr>
          <w:p w:rsidR="00164E4A" w:rsidRPr="00CC50C0" w:rsidRDefault="00164E4A" w:rsidP="00164E4A">
            <w:pPr>
              <w:jc w:val="center"/>
              <w:rPr>
                <w:b/>
                <w:sz w:val="16"/>
                <w:szCs w:val="16"/>
              </w:rPr>
            </w:pPr>
            <w:r>
              <w:rPr>
                <w:b/>
                <w:sz w:val="16"/>
                <w:szCs w:val="16"/>
              </w:rPr>
              <w:t>0</w:t>
            </w:r>
          </w:p>
        </w:tc>
        <w:tc>
          <w:tcPr>
            <w:tcW w:w="630" w:type="dxa"/>
          </w:tcPr>
          <w:p w:rsidR="00164E4A" w:rsidRPr="00CC50C0" w:rsidRDefault="00164E4A" w:rsidP="00164E4A">
            <w:pPr>
              <w:jc w:val="center"/>
              <w:rPr>
                <w:b/>
                <w:sz w:val="16"/>
                <w:szCs w:val="16"/>
              </w:rPr>
            </w:pPr>
            <w:r>
              <w:rPr>
                <w:b/>
                <w:sz w:val="16"/>
                <w:szCs w:val="16"/>
              </w:rPr>
              <w:t>1</w:t>
            </w:r>
          </w:p>
        </w:tc>
        <w:tc>
          <w:tcPr>
            <w:tcW w:w="540" w:type="dxa"/>
          </w:tcPr>
          <w:p w:rsidR="00164E4A" w:rsidRPr="00CC50C0" w:rsidRDefault="00164E4A" w:rsidP="00164E4A">
            <w:pPr>
              <w:jc w:val="center"/>
              <w:rPr>
                <w:b/>
                <w:sz w:val="16"/>
                <w:szCs w:val="16"/>
              </w:rPr>
            </w:pPr>
            <w:r>
              <w:rPr>
                <w:b/>
                <w:sz w:val="16"/>
                <w:szCs w:val="16"/>
              </w:rPr>
              <w:t>4</w:t>
            </w:r>
          </w:p>
        </w:tc>
        <w:tc>
          <w:tcPr>
            <w:tcW w:w="630" w:type="dxa"/>
          </w:tcPr>
          <w:p w:rsidR="00164E4A" w:rsidRPr="00CC50C0" w:rsidRDefault="00164E4A" w:rsidP="00164E4A">
            <w:pPr>
              <w:jc w:val="center"/>
              <w:rPr>
                <w:b/>
                <w:sz w:val="16"/>
                <w:szCs w:val="16"/>
              </w:rPr>
            </w:pPr>
            <w:r>
              <w:rPr>
                <w:b/>
                <w:sz w:val="16"/>
                <w:szCs w:val="16"/>
              </w:rPr>
              <w:t>4</w:t>
            </w:r>
          </w:p>
        </w:tc>
        <w:tc>
          <w:tcPr>
            <w:tcW w:w="630" w:type="dxa"/>
          </w:tcPr>
          <w:p w:rsidR="00164E4A" w:rsidRPr="00CC50C0" w:rsidRDefault="00164E4A" w:rsidP="00164E4A">
            <w:pPr>
              <w:jc w:val="center"/>
              <w:rPr>
                <w:b/>
                <w:sz w:val="16"/>
                <w:szCs w:val="16"/>
              </w:rPr>
            </w:pPr>
            <w:r>
              <w:rPr>
                <w:b/>
                <w:sz w:val="16"/>
                <w:szCs w:val="16"/>
              </w:rPr>
              <w:t>0</w:t>
            </w:r>
          </w:p>
        </w:tc>
        <w:tc>
          <w:tcPr>
            <w:tcW w:w="990" w:type="dxa"/>
            <w:shd w:val="pct10" w:color="auto" w:fill="auto"/>
          </w:tcPr>
          <w:p w:rsidR="00164E4A" w:rsidRPr="001E02D1" w:rsidRDefault="00164E4A" w:rsidP="00164E4A">
            <w:pPr>
              <w:jc w:val="center"/>
              <w:rPr>
                <w:rFonts w:ascii="Arial Black" w:hAnsi="Arial Black"/>
                <w:sz w:val="16"/>
                <w:szCs w:val="16"/>
              </w:rPr>
            </w:pPr>
            <w:r>
              <w:rPr>
                <w:rFonts w:ascii="Arial Black" w:hAnsi="Arial Black"/>
                <w:sz w:val="16"/>
                <w:szCs w:val="16"/>
              </w:rPr>
              <w:t>19</w:t>
            </w:r>
          </w:p>
        </w:tc>
      </w:tr>
      <w:tr w:rsidR="00A90B6B" w:rsidRPr="00CF5C47" w:rsidTr="00A90B6B">
        <w:tc>
          <w:tcPr>
            <w:tcW w:w="2340" w:type="dxa"/>
            <w:shd w:val="clear" w:color="auto" w:fill="auto"/>
          </w:tcPr>
          <w:p w:rsidR="00164E4A" w:rsidRPr="00CF5C47" w:rsidRDefault="00164E4A" w:rsidP="00164E4A">
            <w:pPr>
              <w:pStyle w:val="ListParagraph"/>
              <w:ind w:left="0"/>
              <w:rPr>
                <w:sz w:val="16"/>
                <w:szCs w:val="16"/>
              </w:rPr>
            </w:pPr>
            <w:r w:rsidRPr="00CF5C47">
              <w:rPr>
                <w:sz w:val="16"/>
                <w:szCs w:val="16"/>
              </w:rPr>
              <w:t xml:space="preserve"> </w:t>
            </w:r>
            <w:r w:rsidRPr="00CF5C47">
              <w:rPr>
                <w:b/>
                <w:sz w:val="16"/>
                <w:szCs w:val="16"/>
              </w:rPr>
              <w:t>PS3</w:t>
            </w:r>
            <w:r w:rsidRPr="00CF5C47">
              <w:rPr>
                <w:sz w:val="16"/>
                <w:szCs w:val="16"/>
              </w:rPr>
              <w:t>- Indecent Exposure</w:t>
            </w:r>
          </w:p>
        </w:tc>
        <w:tc>
          <w:tcPr>
            <w:tcW w:w="630" w:type="dxa"/>
          </w:tcPr>
          <w:p w:rsidR="00164E4A" w:rsidRPr="00CC50C0" w:rsidRDefault="00164E4A" w:rsidP="00164E4A">
            <w:pPr>
              <w:jc w:val="center"/>
              <w:rPr>
                <w:b/>
                <w:sz w:val="16"/>
                <w:szCs w:val="16"/>
              </w:rPr>
            </w:pPr>
            <w:r>
              <w:rPr>
                <w:b/>
                <w:sz w:val="16"/>
                <w:szCs w:val="16"/>
              </w:rPr>
              <w:t>0</w:t>
            </w:r>
          </w:p>
        </w:tc>
        <w:tc>
          <w:tcPr>
            <w:tcW w:w="540" w:type="dxa"/>
          </w:tcPr>
          <w:p w:rsidR="00164E4A" w:rsidRPr="00CC50C0" w:rsidRDefault="00164E4A" w:rsidP="00164E4A">
            <w:pPr>
              <w:jc w:val="center"/>
              <w:rPr>
                <w:b/>
                <w:sz w:val="16"/>
                <w:szCs w:val="16"/>
              </w:rPr>
            </w:pPr>
            <w:r>
              <w:rPr>
                <w:b/>
                <w:sz w:val="16"/>
                <w:szCs w:val="16"/>
              </w:rPr>
              <w:t>0</w:t>
            </w:r>
          </w:p>
        </w:tc>
        <w:tc>
          <w:tcPr>
            <w:tcW w:w="630" w:type="dxa"/>
          </w:tcPr>
          <w:p w:rsidR="00164E4A" w:rsidRPr="00CC50C0" w:rsidRDefault="00164E4A" w:rsidP="00164E4A">
            <w:pPr>
              <w:jc w:val="center"/>
              <w:rPr>
                <w:b/>
                <w:sz w:val="16"/>
                <w:szCs w:val="16"/>
              </w:rPr>
            </w:pPr>
            <w:r>
              <w:rPr>
                <w:b/>
                <w:sz w:val="16"/>
                <w:szCs w:val="16"/>
              </w:rPr>
              <w:t>0</w:t>
            </w:r>
          </w:p>
        </w:tc>
        <w:tc>
          <w:tcPr>
            <w:tcW w:w="630" w:type="dxa"/>
          </w:tcPr>
          <w:p w:rsidR="00164E4A" w:rsidRPr="00CC50C0" w:rsidRDefault="00164E4A" w:rsidP="00164E4A">
            <w:pPr>
              <w:jc w:val="center"/>
              <w:rPr>
                <w:b/>
                <w:sz w:val="16"/>
                <w:szCs w:val="16"/>
              </w:rPr>
            </w:pPr>
            <w:r>
              <w:rPr>
                <w:b/>
                <w:sz w:val="16"/>
                <w:szCs w:val="16"/>
              </w:rPr>
              <w:t>0</w:t>
            </w:r>
          </w:p>
        </w:tc>
        <w:tc>
          <w:tcPr>
            <w:tcW w:w="630" w:type="dxa"/>
          </w:tcPr>
          <w:p w:rsidR="00164E4A" w:rsidRPr="00CC50C0" w:rsidRDefault="00164E4A" w:rsidP="00164E4A">
            <w:pPr>
              <w:jc w:val="center"/>
              <w:rPr>
                <w:b/>
                <w:sz w:val="16"/>
                <w:szCs w:val="16"/>
              </w:rPr>
            </w:pPr>
            <w:r>
              <w:rPr>
                <w:b/>
                <w:sz w:val="16"/>
                <w:szCs w:val="16"/>
              </w:rPr>
              <w:t>0</w:t>
            </w:r>
          </w:p>
        </w:tc>
        <w:tc>
          <w:tcPr>
            <w:tcW w:w="540" w:type="dxa"/>
          </w:tcPr>
          <w:p w:rsidR="00164E4A" w:rsidRPr="00CC50C0" w:rsidRDefault="00164E4A" w:rsidP="00164E4A">
            <w:pPr>
              <w:jc w:val="center"/>
              <w:rPr>
                <w:b/>
                <w:sz w:val="16"/>
                <w:szCs w:val="16"/>
              </w:rPr>
            </w:pPr>
            <w:r>
              <w:rPr>
                <w:b/>
                <w:sz w:val="16"/>
                <w:szCs w:val="16"/>
              </w:rPr>
              <w:t>2</w:t>
            </w:r>
          </w:p>
        </w:tc>
        <w:tc>
          <w:tcPr>
            <w:tcW w:w="540" w:type="dxa"/>
          </w:tcPr>
          <w:p w:rsidR="00164E4A" w:rsidRPr="00CC50C0" w:rsidRDefault="00164E4A" w:rsidP="00164E4A">
            <w:pPr>
              <w:jc w:val="center"/>
              <w:rPr>
                <w:b/>
                <w:sz w:val="16"/>
                <w:szCs w:val="16"/>
              </w:rPr>
            </w:pPr>
            <w:r>
              <w:rPr>
                <w:b/>
                <w:sz w:val="16"/>
                <w:szCs w:val="16"/>
              </w:rPr>
              <w:t>0</w:t>
            </w:r>
          </w:p>
        </w:tc>
        <w:tc>
          <w:tcPr>
            <w:tcW w:w="630" w:type="dxa"/>
          </w:tcPr>
          <w:p w:rsidR="00164E4A" w:rsidRPr="00CC50C0" w:rsidRDefault="00164E4A" w:rsidP="00164E4A">
            <w:pPr>
              <w:jc w:val="center"/>
              <w:rPr>
                <w:b/>
                <w:sz w:val="16"/>
                <w:szCs w:val="16"/>
              </w:rPr>
            </w:pPr>
            <w:r>
              <w:rPr>
                <w:b/>
                <w:sz w:val="16"/>
                <w:szCs w:val="16"/>
              </w:rPr>
              <w:t>0</w:t>
            </w:r>
          </w:p>
        </w:tc>
        <w:tc>
          <w:tcPr>
            <w:tcW w:w="630" w:type="dxa"/>
          </w:tcPr>
          <w:p w:rsidR="00164E4A" w:rsidRPr="00CC50C0" w:rsidRDefault="00164E4A" w:rsidP="00164E4A">
            <w:pPr>
              <w:jc w:val="center"/>
              <w:rPr>
                <w:b/>
                <w:sz w:val="16"/>
                <w:szCs w:val="16"/>
              </w:rPr>
            </w:pPr>
            <w:r>
              <w:rPr>
                <w:b/>
                <w:sz w:val="16"/>
                <w:szCs w:val="16"/>
              </w:rPr>
              <w:t>0</w:t>
            </w:r>
          </w:p>
        </w:tc>
        <w:tc>
          <w:tcPr>
            <w:tcW w:w="540" w:type="dxa"/>
          </w:tcPr>
          <w:p w:rsidR="00164E4A" w:rsidRPr="00CC50C0" w:rsidRDefault="00164E4A" w:rsidP="00164E4A">
            <w:pPr>
              <w:jc w:val="center"/>
              <w:rPr>
                <w:b/>
                <w:sz w:val="16"/>
                <w:szCs w:val="16"/>
              </w:rPr>
            </w:pPr>
            <w:r>
              <w:rPr>
                <w:b/>
                <w:sz w:val="16"/>
                <w:szCs w:val="16"/>
              </w:rPr>
              <w:t>0</w:t>
            </w:r>
          </w:p>
        </w:tc>
        <w:tc>
          <w:tcPr>
            <w:tcW w:w="630" w:type="dxa"/>
          </w:tcPr>
          <w:p w:rsidR="00164E4A" w:rsidRPr="00CC50C0" w:rsidRDefault="00164E4A" w:rsidP="00164E4A">
            <w:pPr>
              <w:jc w:val="center"/>
              <w:rPr>
                <w:b/>
                <w:sz w:val="16"/>
                <w:szCs w:val="16"/>
              </w:rPr>
            </w:pPr>
            <w:r>
              <w:rPr>
                <w:b/>
                <w:sz w:val="16"/>
                <w:szCs w:val="16"/>
              </w:rPr>
              <w:t>0</w:t>
            </w:r>
          </w:p>
        </w:tc>
        <w:tc>
          <w:tcPr>
            <w:tcW w:w="630" w:type="dxa"/>
          </w:tcPr>
          <w:p w:rsidR="00164E4A" w:rsidRPr="00CC50C0" w:rsidRDefault="00164E4A" w:rsidP="00164E4A">
            <w:pPr>
              <w:jc w:val="center"/>
              <w:rPr>
                <w:b/>
                <w:sz w:val="16"/>
                <w:szCs w:val="16"/>
              </w:rPr>
            </w:pPr>
            <w:r>
              <w:rPr>
                <w:b/>
                <w:sz w:val="16"/>
                <w:szCs w:val="16"/>
              </w:rPr>
              <w:t>0</w:t>
            </w:r>
          </w:p>
        </w:tc>
        <w:tc>
          <w:tcPr>
            <w:tcW w:w="990" w:type="dxa"/>
            <w:shd w:val="pct10" w:color="auto" w:fill="auto"/>
          </w:tcPr>
          <w:p w:rsidR="00164E4A" w:rsidRPr="001E02D1" w:rsidRDefault="00164E4A" w:rsidP="00164E4A">
            <w:pPr>
              <w:jc w:val="center"/>
              <w:rPr>
                <w:rFonts w:ascii="Arial Black" w:hAnsi="Arial Black"/>
                <w:sz w:val="16"/>
                <w:szCs w:val="16"/>
              </w:rPr>
            </w:pPr>
            <w:r>
              <w:rPr>
                <w:rFonts w:ascii="Arial Black" w:hAnsi="Arial Black"/>
                <w:sz w:val="16"/>
                <w:szCs w:val="16"/>
              </w:rPr>
              <w:t>2</w:t>
            </w:r>
          </w:p>
        </w:tc>
      </w:tr>
      <w:tr w:rsidR="00A90B6B" w:rsidRPr="00CF5C47" w:rsidTr="00A90B6B">
        <w:tc>
          <w:tcPr>
            <w:tcW w:w="2340" w:type="dxa"/>
            <w:tcBorders>
              <w:bottom w:val="single" w:sz="4" w:space="0" w:color="auto"/>
            </w:tcBorders>
            <w:shd w:val="clear" w:color="auto" w:fill="auto"/>
          </w:tcPr>
          <w:p w:rsidR="00164E4A" w:rsidRPr="00CF5C47" w:rsidRDefault="00164E4A" w:rsidP="00164E4A">
            <w:pPr>
              <w:pStyle w:val="ListParagraph"/>
              <w:ind w:left="0"/>
              <w:rPr>
                <w:sz w:val="16"/>
                <w:szCs w:val="16"/>
              </w:rPr>
            </w:pPr>
            <w:r w:rsidRPr="00CF5C47">
              <w:rPr>
                <w:sz w:val="16"/>
                <w:szCs w:val="16"/>
              </w:rPr>
              <w:t xml:space="preserve"> </w:t>
            </w:r>
            <w:r w:rsidRPr="00CF5C47">
              <w:rPr>
                <w:b/>
                <w:sz w:val="16"/>
                <w:szCs w:val="16"/>
              </w:rPr>
              <w:t>PS4</w:t>
            </w:r>
            <w:r w:rsidRPr="00CF5C47">
              <w:rPr>
                <w:sz w:val="16"/>
                <w:szCs w:val="16"/>
              </w:rPr>
              <w:t>- Harassment/Voyeurism</w:t>
            </w:r>
          </w:p>
        </w:tc>
        <w:tc>
          <w:tcPr>
            <w:tcW w:w="630" w:type="dxa"/>
            <w:tcBorders>
              <w:bottom w:val="single" w:sz="4" w:space="0" w:color="auto"/>
            </w:tcBorders>
          </w:tcPr>
          <w:p w:rsidR="00164E4A" w:rsidRPr="00CC50C0" w:rsidRDefault="00164E4A" w:rsidP="00164E4A">
            <w:pPr>
              <w:jc w:val="center"/>
              <w:rPr>
                <w:b/>
                <w:sz w:val="16"/>
                <w:szCs w:val="16"/>
              </w:rPr>
            </w:pPr>
            <w:r>
              <w:rPr>
                <w:b/>
                <w:sz w:val="16"/>
                <w:szCs w:val="16"/>
              </w:rPr>
              <w:t>0</w:t>
            </w:r>
          </w:p>
        </w:tc>
        <w:tc>
          <w:tcPr>
            <w:tcW w:w="540" w:type="dxa"/>
            <w:tcBorders>
              <w:bottom w:val="single" w:sz="4" w:space="0" w:color="auto"/>
            </w:tcBorders>
          </w:tcPr>
          <w:p w:rsidR="00164E4A" w:rsidRPr="00CC50C0" w:rsidRDefault="00164E4A" w:rsidP="00164E4A">
            <w:pPr>
              <w:jc w:val="center"/>
              <w:rPr>
                <w:b/>
                <w:sz w:val="16"/>
                <w:szCs w:val="16"/>
              </w:rPr>
            </w:pPr>
            <w:r>
              <w:rPr>
                <w:b/>
                <w:sz w:val="16"/>
                <w:szCs w:val="16"/>
              </w:rPr>
              <w:t>1</w:t>
            </w:r>
          </w:p>
        </w:tc>
        <w:tc>
          <w:tcPr>
            <w:tcW w:w="630" w:type="dxa"/>
            <w:tcBorders>
              <w:bottom w:val="single" w:sz="4" w:space="0" w:color="auto"/>
            </w:tcBorders>
          </w:tcPr>
          <w:p w:rsidR="00164E4A" w:rsidRPr="00CC50C0" w:rsidRDefault="00164E4A" w:rsidP="00164E4A">
            <w:pPr>
              <w:jc w:val="center"/>
              <w:rPr>
                <w:b/>
                <w:sz w:val="16"/>
                <w:szCs w:val="16"/>
              </w:rPr>
            </w:pPr>
            <w:r>
              <w:rPr>
                <w:b/>
                <w:sz w:val="16"/>
                <w:szCs w:val="16"/>
              </w:rPr>
              <w:t>2</w:t>
            </w:r>
          </w:p>
        </w:tc>
        <w:tc>
          <w:tcPr>
            <w:tcW w:w="630" w:type="dxa"/>
            <w:tcBorders>
              <w:bottom w:val="single" w:sz="4" w:space="0" w:color="auto"/>
            </w:tcBorders>
          </w:tcPr>
          <w:p w:rsidR="00164E4A" w:rsidRPr="00CC50C0" w:rsidRDefault="00164E4A" w:rsidP="00164E4A">
            <w:pPr>
              <w:jc w:val="center"/>
              <w:rPr>
                <w:b/>
                <w:sz w:val="16"/>
                <w:szCs w:val="16"/>
              </w:rPr>
            </w:pPr>
            <w:r>
              <w:rPr>
                <w:b/>
                <w:sz w:val="16"/>
                <w:szCs w:val="16"/>
              </w:rPr>
              <w:t>5</w:t>
            </w:r>
          </w:p>
        </w:tc>
        <w:tc>
          <w:tcPr>
            <w:tcW w:w="630" w:type="dxa"/>
            <w:tcBorders>
              <w:bottom w:val="single" w:sz="4" w:space="0" w:color="auto"/>
            </w:tcBorders>
          </w:tcPr>
          <w:p w:rsidR="00164E4A" w:rsidRPr="00CC50C0" w:rsidRDefault="00164E4A" w:rsidP="00164E4A">
            <w:pPr>
              <w:jc w:val="center"/>
              <w:rPr>
                <w:b/>
                <w:sz w:val="16"/>
                <w:szCs w:val="16"/>
              </w:rPr>
            </w:pPr>
            <w:r>
              <w:rPr>
                <w:b/>
                <w:sz w:val="16"/>
                <w:szCs w:val="16"/>
              </w:rPr>
              <w:t>1</w:t>
            </w:r>
          </w:p>
        </w:tc>
        <w:tc>
          <w:tcPr>
            <w:tcW w:w="540" w:type="dxa"/>
            <w:tcBorders>
              <w:bottom w:val="single" w:sz="4" w:space="0" w:color="auto"/>
            </w:tcBorders>
          </w:tcPr>
          <w:p w:rsidR="00164E4A" w:rsidRPr="00CC50C0" w:rsidRDefault="00164E4A" w:rsidP="00164E4A">
            <w:pPr>
              <w:jc w:val="center"/>
              <w:rPr>
                <w:b/>
                <w:sz w:val="16"/>
                <w:szCs w:val="16"/>
              </w:rPr>
            </w:pPr>
            <w:r>
              <w:rPr>
                <w:b/>
                <w:sz w:val="16"/>
                <w:szCs w:val="16"/>
              </w:rPr>
              <w:t>3</w:t>
            </w:r>
          </w:p>
        </w:tc>
        <w:tc>
          <w:tcPr>
            <w:tcW w:w="540" w:type="dxa"/>
            <w:tcBorders>
              <w:bottom w:val="single" w:sz="4" w:space="0" w:color="auto"/>
            </w:tcBorders>
          </w:tcPr>
          <w:p w:rsidR="00164E4A" w:rsidRPr="00CC50C0" w:rsidRDefault="00164E4A" w:rsidP="00164E4A">
            <w:pPr>
              <w:jc w:val="center"/>
              <w:rPr>
                <w:b/>
                <w:sz w:val="16"/>
                <w:szCs w:val="16"/>
              </w:rPr>
            </w:pPr>
            <w:r>
              <w:rPr>
                <w:b/>
                <w:sz w:val="16"/>
                <w:szCs w:val="16"/>
              </w:rPr>
              <w:t>2</w:t>
            </w:r>
          </w:p>
        </w:tc>
        <w:tc>
          <w:tcPr>
            <w:tcW w:w="630" w:type="dxa"/>
            <w:tcBorders>
              <w:bottom w:val="single" w:sz="4" w:space="0" w:color="auto"/>
            </w:tcBorders>
          </w:tcPr>
          <w:p w:rsidR="00164E4A" w:rsidRPr="00CC50C0" w:rsidRDefault="00164E4A" w:rsidP="00164E4A">
            <w:pPr>
              <w:jc w:val="center"/>
              <w:rPr>
                <w:b/>
                <w:sz w:val="16"/>
                <w:szCs w:val="16"/>
              </w:rPr>
            </w:pPr>
            <w:r>
              <w:rPr>
                <w:b/>
                <w:sz w:val="16"/>
                <w:szCs w:val="16"/>
              </w:rPr>
              <w:t>0</w:t>
            </w:r>
          </w:p>
        </w:tc>
        <w:tc>
          <w:tcPr>
            <w:tcW w:w="630" w:type="dxa"/>
            <w:tcBorders>
              <w:bottom w:val="single" w:sz="4" w:space="0" w:color="auto"/>
            </w:tcBorders>
          </w:tcPr>
          <w:p w:rsidR="00164E4A" w:rsidRPr="00CC50C0" w:rsidRDefault="00164E4A" w:rsidP="00164E4A">
            <w:pPr>
              <w:jc w:val="center"/>
              <w:rPr>
                <w:b/>
                <w:sz w:val="16"/>
                <w:szCs w:val="16"/>
              </w:rPr>
            </w:pPr>
            <w:r>
              <w:rPr>
                <w:b/>
                <w:sz w:val="16"/>
                <w:szCs w:val="16"/>
              </w:rPr>
              <w:t>1</w:t>
            </w:r>
          </w:p>
        </w:tc>
        <w:tc>
          <w:tcPr>
            <w:tcW w:w="540" w:type="dxa"/>
            <w:tcBorders>
              <w:bottom w:val="single" w:sz="4" w:space="0" w:color="auto"/>
            </w:tcBorders>
          </w:tcPr>
          <w:p w:rsidR="00164E4A" w:rsidRPr="00CC50C0" w:rsidRDefault="00164E4A" w:rsidP="00164E4A">
            <w:pPr>
              <w:jc w:val="center"/>
              <w:rPr>
                <w:b/>
                <w:sz w:val="16"/>
                <w:szCs w:val="16"/>
              </w:rPr>
            </w:pPr>
            <w:r>
              <w:rPr>
                <w:b/>
                <w:sz w:val="16"/>
                <w:szCs w:val="16"/>
              </w:rPr>
              <w:t>4</w:t>
            </w:r>
          </w:p>
        </w:tc>
        <w:tc>
          <w:tcPr>
            <w:tcW w:w="630" w:type="dxa"/>
            <w:tcBorders>
              <w:bottom w:val="single" w:sz="4" w:space="0" w:color="auto"/>
            </w:tcBorders>
          </w:tcPr>
          <w:p w:rsidR="00164E4A" w:rsidRPr="00CC50C0" w:rsidRDefault="00164E4A" w:rsidP="00164E4A">
            <w:pPr>
              <w:jc w:val="center"/>
              <w:rPr>
                <w:b/>
                <w:sz w:val="16"/>
                <w:szCs w:val="16"/>
              </w:rPr>
            </w:pPr>
            <w:r>
              <w:rPr>
                <w:b/>
                <w:sz w:val="16"/>
                <w:szCs w:val="16"/>
              </w:rPr>
              <w:t>2</w:t>
            </w:r>
          </w:p>
        </w:tc>
        <w:tc>
          <w:tcPr>
            <w:tcW w:w="630" w:type="dxa"/>
            <w:tcBorders>
              <w:bottom w:val="single" w:sz="4" w:space="0" w:color="auto"/>
            </w:tcBorders>
          </w:tcPr>
          <w:p w:rsidR="00164E4A" w:rsidRPr="00CC50C0" w:rsidRDefault="00164E4A" w:rsidP="00164E4A">
            <w:pPr>
              <w:jc w:val="center"/>
              <w:rPr>
                <w:b/>
                <w:sz w:val="16"/>
                <w:szCs w:val="16"/>
              </w:rPr>
            </w:pPr>
            <w:r>
              <w:rPr>
                <w:b/>
                <w:sz w:val="16"/>
                <w:szCs w:val="16"/>
              </w:rPr>
              <w:t>1</w:t>
            </w:r>
          </w:p>
        </w:tc>
        <w:tc>
          <w:tcPr>
            <w:tcW w:w="990" w:type="dxa"/>
            <w:tcBorders>
              <w:bottom w:val="single" w:sz="4" w:space="0" w:color="auto"/>
            </w:tcBorders>
            <w:shd w:val="pct10" w:color="auto" w:fill="auto"/>
          </w:tcPr>
          <w:p w:rsidR="00164E4A" w:rsidRPr="001E02D1" w:rsidRDefault="00164E4A" w:rsidP="00164E4A">
            <w:pPr>
              <w:jc w:val="center"/>
              <w:rPr>
                <w:rFonts w:ascii="Arial Black" w:hAnsi="Arial Black"/>
                <w:sz w:val="16"/>
                <w:szCs w:val="16"/>
              </w:rPr>
            </w:pPr>
            <w:r>
              <w:rPr>
                <w:rFonts w:ascii="Arial Black" w:hAnsi="Arial Black"/>
                <w:sz w:val="16"/>
                <w:szCs w:val="16"/>
              </w:rPr>
              <w:t>22</w:t>
            </w:r>
          </w:p>
        </w:tc>
      </w:tr>
      <w:tr w:rsidR="00A90B6B" w:rsidRPr="00CF5C47" w:rsidTr="00A90B6B">
        <w:tc>
          <w:tcPr>
            <w:tcW w:w="2340" w:type="dxa"/>
            <w:shd w:val="pct10" w:color="auto" w:fill="auto"/>
          </w:tcPr>
          <w:p w:rsidR="00164E4A" w:rsidRPr="00CF5C47" w:rsidRDefault="00164E4A" w:rsidP="00164E4A">
            <w:pPr>
              <w:jc w:val="center"/>
              <w:rPr>
                <w:rFonts w:ascii="Arial Black" w:hAnsi="Arial Black"/>
                <w:b/>
                <w:sz w:val="16"/>
                <w:szCs w:val="16"/>
              </w:rPr>
            </w:pPr>
            <w:r w:rsidRPr="00CF5C47">
              <w:rPr>
                <w:rFonts w:ascii="Arial Black" w:hAnsi="Arial Black"/>
                <w:b/>
                <w:sz w:val="16"/>
                <w:szCs w:val="16"/>
              </w:rPr>
              <w:t>Totals</w:t>
            </w:r>
          </w:p>
        </w:tc>
        <w:tc>
          <w:tcPr>
            <w:tcW w:w="630" w:type="dxa"/>
            <w:shd w:val="pct10" w:color="auto" w:fill="auto"/>
          </w:tcPr>
          <w:p w:rsidR="00164E4A" w:rsidRPr="00F8359F" w:rsidRDefault="00164E4A" w:rsidP="00164E4A">
            <w:pPr>
              <w:jc w:val="center"/>
              <w:rPr>
                <w:rFonts w:ascii="Arial Black" w:hAnsi="Arial Black"/>
                <w:sz w:val="16"/>
                <w:szCs w:val="16"/>
              </w:rPr>
            </w:pPr>
            <w:r>
              <w:rPr>
                <w:rFonts w:ascii="Arial Black" w:hAnsi="Arial Black"/>
                <w:sz w:val="16"/>
                <w:szCs w:val="16"/>
              </w:rPr>
              <w:t>20</w:t>
            </w:r>
          </w:p>
        </w:tc>
        <w:tc>
          <w:tcPr>
            <w:tcW w:w="540" w:type="dxa"/>
            <w:shd w:val="pct10" w:color="auto" w:fill="auto"/>
          </w:tcPr>
          <w:p w:rsidR="00164E4A" w:rsidRPr="00F8359F" w:rsidRDefault="00164E4A" w:rsidP="00164E4A">
            <w:pPr>
              <w:jc w:val="center"/>
              <w:rPr>
                <w:rFonts w:ascii="Arial Black" w:hAnsi="Arial Black"/>
                <w:sz w:val="16"/>
                <w:szCs w:val="16"/>
              </w:rPr>
            </w:pPr>
            <w:r>
              <w:rPr>
                <w:rFonts w:ascii="Arial Black" w:hAnsi="Arial Black"/>
                <w:sz w:val="16"/>
                <w:szCs w:val="16"/>
              </w:rPr>
              <w:t>14</w:t>
            </w:r>
          </w:p>
        </w:tc>
        <w:tc>
          <w:tcPr>
            <w:tcW w:w="630" w:type="dxa"/>
            <w:shd w:val="pct10" w:color="auto" w:fill="auto"/>
          </w:tcPr>
          <w:p w:rsidR="00164E4A" w:rsidRPr="00F8359F" w:rsidRDefault="00164E4A" w:rsidP="00164E4A">
            <w:pPr>
              <w:jc w:val="center"/>
              <w:rPr>
                <w:rFonts w:ascii="Arial Black" w:hAnsi="Arial Black"/>
                <w:sz w:val="16"/>
                <w:szCs w:val="16"/>
              </w:rPr>
            </w:pPr>
            <w:r>
              <w:rPr>
                <w:rFonts w:ascii="Arial Black" w:hAnsi="Arial Black"/>
                <w:sz w:val="16"/>
                <w:szCs w:val="16"/>
              </w:rPr>
              <w:t>20</w:t>
            </w:r>
          </w:p>
        </w:tc>
        <w:tc>
          <w:tcPr>
            <w:tcW w:w="630" w:type="dxa"/>
            <w:shd w:val="pct10" w:color="auto" w:fill="auto"/>
          </w:tcPr>
          <w:p w:rsidR="00164E4A" w:rsidRPr="00F8359F" w:rsidRDefault="00164E4A" w:rsidP="00164E4A">
            <w:pPr>
              <w:jc w:val="center"/>
              <w:rPr>
                <w:rFonts w:ascii="Arial Black" w:hAnsi="Arial Black"/>
                <w:sz w:val="16"/>
                <w:szCs w:val="16"/>
              </w:rPr>
            </w:pPr>
            <w:r>
              <w:rPr>
                <w:rFonts w:ascii="Arial Black" w:hAnsi="Arial Black"/>
                <w:sz w:val="16"/>
                <w:szCs w:val="16"/>
              </w:rPr>
              <w:t>20</w:t>
            </w:r>
          </w:p>
        </w:tc>
        <w:tc>
          <w:tcPr>
            <w:tcW w:w="630" w:type="dxa"/>
            <w:shd w:val="pct10" w:color="auto" w:fill="auto"/>
          </w:tcPr>
          <w:p w:rsidR="00164E4A" w:rsidRPr="00F8359F" w:rsidRDefault="00164E4A" w:rsidP="00164E4A">
            <w:pPr>
              <w:jc w:val="center"/>
              <w:rPr>
                <w:rFonts w:ascii="Arial Black" w:hAnsi="Arial Black"/>
                <w:sz w:val="16"/>
                <w:szCs w:val="16"/>
              </w:rPr>
            </w:pPr>
            <w:r>
              <w:rPr>
                <w:rFonts w:ascii="Arial Black" w:hAnsi="Arial Black"/>
                <w:sz w:val="16"/>
                <w:szCs w:val="16"/>
              </w:rPr>
              <w:t>16</w:t>
            </w:r>
          </w:p>
        </w:tc>
        <w:tc>
          <w:tcPr>
            <w:tcW w:w="540" w:type="dxa"/>
            <w:shd w:val="pct10" w:color="auto" w:fill="auto"/>
          </w:tcPr>
          <w:p w:rsidR="00164E4A" w:rsidRPr="00F8359F" w:rsidRDefault="00164E4A" w:rsidP="00164E4A">
            <w:pPr>
              <w:jc w:val="center"/>
              <w:rPr>
                <w:rFonts w:ascii="Arial Black" w:hAnsi="Arial Black"/>
                <w:sz w:val="16"/>
                <w:szCs w:val="16"/>
              </w:rPr>
            </w:pPr>
            <w:r>
              <w:rPr>
                <w:rFonts w:ascii="Arial Black" w:hAnsi="Arial Black"/>
                <w:sz w:val="16"/>
                <w:szCs w:val="16"/>
              </w:rPr>
              <w:t>20</w:t>
            </w:r>
          </w:p>
        </w:tc>
        <w:tc>
          <w:tcPr>
            <w:tcW w:w="540" w:type="dxa"/>
            <w:shd w:val="pct10" w:color="auto" w:fill="auto"/>
          </w:tcPr>
          <w:p w:rsidR="00164E4A" w:rsidRPr="00F8359F" w:rsidRDefault="00164E4A" w:rsidP="00164E4A">
            <w:pPr>
              <w:jc w:val="center"/>
              <w:rPr>
                <w:rFonts w:ascii="Arial Black" w:hAnsi="Arial Black"/>
                <w:sz w:val="16"/>
                <w:szCs w:val="16"/>
              </w:rPr>
            </w:pPr>
            <w:r>
              <w:rPr>
                <w:rFonts w:ascii="Arial Black" w:hAnsi="Arial Black"/>
                <w:sz w:val="16"/>
                <w:szCs w:val="16"/>
              </w:rPr>
              <w:t>16</w:t>
            </w:r>
          </w:p>
        </w:tc>
        <w:tc>
          <w:tcPr>
            <w:tcW w:w="630" w:type="dxa"/>
            <w:shd w:val="pct10" w:color="auto" w:fill="auto"/>
          </w:tcPr>
          <w:p w:rsidR="00164E4A" w:rsidRPr="00F8359F" w:rsidRDefault="00164E4A" w:rsidP="00164E4A">
            <w:pPr>
              <w:jc w:val="center"/>
              <w:rPr>
                <w:rFonts w:ascii="Arial Black" w:hAnsi="Arial Black"/>
                <w:sz w:val="16"/>
                <w:szCs w:val="16"/>
              </w:rPr>
            </w:pPr>
            <w:r>
              <w:rPr>
                <w:rFonts w:ascii="Arial Black" w:hAnsi="Arial Black"/>
                <w:sz w:val="16"/>
                <w:szCs w:val="16"/>
              </w:rPr>
              <w:t>12</w:t>
            </w:r>
          </w:p>
        </w:tc>
        <w:tc>
          <w:tcPr>
            <w:tcW w:w="630" w:type="dxa"/>
            <w:shd w:val="pct10" w:color="auto" w:fill="auto"/>
          </w:tcPr>
          <w:p w:rsidR="00164E4A" w:rsidRPr="00F8359F" w:rsidRDefault="00164E4A" w:rsidP="00164E4A">
            <w:pPr>
              <w:jc w:val="center"/>
              <w:rPr>
                <w:rFonts w:ascii="Arial Black" w:hAnsi="Arial Black"/>
                <w:sz w:val="16"/>
                <w:szCs w:val="16"/>
              </w:rPr>
            </w:pPr>
            <w:r>
              <w:rPr>
                <w:rFonts w:ascii="Arial Black" w:hAnsi="Arial Black"/>
                <w:sz w:val="16"/>
                <w:szCs w:val="16"/>
              </w:rPr>
              <w:t>16</w:t>
            </w:r>
          </w:p>
        </w:tc>
        <w:tc>
          <w:tcPr>
            <w:tcW w:w="540" w:type="dxa"/>
            <w:shd w:val="pct10" w:color="auto" w:fill="auto"/>
          </w:tcPr>
          <w:p w:rsidR="00164E4A" w:rsidRPr="00F8359F" w:rsidRDefault="00164E4A" w:rsidP="00164E4A">
            <w:pPr>
              <w:jc w:val="center"/>
              <w:rPr>
                <w:rFonts w:ascii="Arial Black" w:hAnsi="Arial Black"/>
                <w:sz w:val="16"/>
                <w:szCs w:val="16"/>
              </w:rPr>
            </w:pPr>
            <w:r>
              <w:rPr>
                <w:rFonts w:ascii="Arial Black" w:hAnsi="Arial Black"/>
                <w:sz w:val="16"/>
                <w:szCs w:val="16"/>
              </w:rPr>
              <w:t>17</w:t>
            </w:r>
          </w:p>
        </w:tc>
        <w:tc>
          <w:tcPr>
            <w:tcW w:w="630" w:type="dxa"/>
            <w:shd w:val="pct10" w:color="auto" w:fill="auto"/>
          </w:tcPr>
          <w:p w:rsidR="00164E4A" w:rsidRPr="00F8359F" w:rsidRDefault="00164E4A" w:rsidP="00164E4A">
            <w:pPr>
              <w:jc w:val="center"/>
              <w:rPr>
                <w:rFonts w:ascii="Arial Black" w:hAnsi="Arial Black"/>
                <w:sz w:val="16"/>
                <w:szCs w:val="16"/>
              </w:rPr>
            </w:pPr>
            <w:r>
              <w:rPr>
                <w:rFonts w:ascii="Arial Black" w:hAnsi="Arial Black"/>
                <w:sz w:val="16"/>
                <w:szCs w:val="16"/>
              </w:rPr>
              <w:t>17</w:t>
            </w:r>
          </w:p>
        </w:tc>
        <w:tc>
          <w:tcPr>
            <w:tcW w:w="630" w:type="dxa"/>
            <w:shd w:val="pct10" w:color="auto" w:fill="auto"/>
          </w:tcPr>
          <w:p w:rsidR="00164E4A" w:rsidRPr="00F8359F" w:rsidRDefault="00164E4A" w:rsidP="00164E4A">
            <w:pPr>
              <w:jc w:val="center"/>
              <w:rPr>
                <w:rFonts w:ascii="Arial Black" w:hAnsi="Arial Black"/>
                <w:sz w:val="16"/>
                <w:szCs w:val="16"/>
              </w:rPr>
            </w:pPr>
            <w:r>
              <w:rPr>
                <w:rFonts w:ascii="Arial Black" w:hAnsi="Arial Black"/>
                <w:sz w:val="16"/>
                <w:szCs w:val="16"/>
              </w:rPr>
              <w:t>9</w:t>
            </w:r>
          </w:p>
        </w:tc>
        <w:tc>
          <w:tcPr>
            <w:tcW w:w="990" w:type="dxa"/>
            <w:shd w:val="pct10" w:color="auto" w:fill="auto"/>
          </w:tcPr>
          <w:p w:rsidR="00164E4A" w:rsidRPr="001E02D1" w:rsidRDefault="00164E4A" w:rsidP="00164E4A">
            <w:pPr>
              <w:pStyle w:val="ListParagraph"/>
              <w:ind w:left="0"/>
              <w:jc w:val="center"/>
              <w:rPr>
                <w:rFonts w:ascii="Arial Black" w:hAnsi="Arial Black"/>
                <w:b/>
                <w:sz w:val="16"/>
                <w:szCs w:val="16"/>
              </w:rPr>
            </w:pPr>
            <w:r>
              <w:rPr>
                <w:rFonts w:ascii="Arial Black" w:hAnsi="Arial Black"/>
                <w:b/>
                <w:sz w:val="16"/>
                <w:szCs w:val="16"/>
              </w:rPr>
              <w:t>197</w:t>
            </w:r>
          </w:p>
        </w:tc>
      </w:tr>
    </w:tbl>
    <w:p w:rsidR="00164E4A" w:rsidRPr="00CF5C47" w:rsidRDefault="00164E4A" w:rsidP="00164E4A">
      <w:pPr>
        <w:pStyle w:val="ListParagraph"/>
        <w:spacing w:after="0" w:line="240" w:lineRule="auto"/>
        <w:rPr>
          <w:sz w:val="16"/>
          <w:szCs w:val="16"/>
        </w:rPr>
      </w:pPr>
    </w:p>
    <w:p w:rsidR="00A90B6B" w:rsidRDefault="00A90B6B" w:rsidP="00164E4A">
      <w:pPr>
        <w:pStyle w:val="ListParagraph"/>
        <w:spacing w:after="0" w:line="240" w:lineRule="auto"/>
        <w:ind w:firstLine="720"/>
        <w:jc w:val="center"/>
        <w:rPr>
          <w:rFonts w:ascii="Arial Black" w:hAnsi="Arial Black"/>
          <w:b/>
          <w:sz w:val="16"/>
          <w:szCs w:val="16"/>
          <w:u w:val="single"/>
        </w:rPr>
      </w:pPr>
    </w:p>
    <w:p w:rsidR="00164E4A" w:rsidRDefault="00164E4A" w:rsidP="00164E4A">
      <w:pPr>
        <w:pStyle w:val="ListParagraph"/>
        <w:spacing w:after="0" w:line="240" w:lineRule="auto"/>
        <w:ind w:firstLine="720"/>
        <w:jc w:val="center"/>
        <w:rPr>
          <w:rFonts w:ascii="Arial Black" w:hAnsi="Arial Black"/>
          <w:b/>
          <w:sz w:val="16"/>
          <w:szCs w:val="16"/>
        </w:rPr>
      </w:pPr>
      <w:r w:rsidRPr="00CF5C47">
        <w:rPr>
          <w:rFonts w:ascii="Arial Black" w:hAnsi="Arial Black"/>
          <w:b/>
          <w:sz w:val="16"/>
          <w:szCs w:val="16"/>
          <w:u w:val="single"/>
        </w:rPr>
        <w:t>Yearly</w:t>
      </w:r>
      <w:r w:rsidRPr="00CF5C47">
        <w:rPr>
          <w:rFonts w:ascii="Arial Black" w:hAnsi="Arial Black"/>
          <w:b/>
          <w:sz w:val="16"/>
          <w:szCs w:val="16"/>
        </w:rPr>
        <w:t xml:space="preserve"> Comparison Report</w:t>
      </w:r>
    </w:p>
    <w:p w:rsidR="00164E4A" w:rsidRPr="00CF5C47" w:rsidRDefault="00164E4A" w:rsidP="00164E4A">
      <w:pPr>
        <w:pStyle w:val="ListParagraph"/>
        <w:spacing w:after="0" w:line="240" w:lineRule="auto"/>
        <w:ind w:firstLine="720"/>
        <w:jc w:val="center"/>
        <w:rPr>
          <w:sz w:val="16"/>
          <w:szCs w:val="16"/>
        </w:rPr>
      </w:pPr>
    </w:p>
    <w:tbl>
      <w:tblPr>
        <w:tblStyle w:val="TableGrid"/>
        <w:tblW w:w="10530" w:type="dxa"/>
        <w:tblInd w:w="-162" w:type="dxa"/>
        <w:tblLayout w:type="fixed"/>
        <w:tblLook w:val="04A0" w:firstRow="1" w:lastRow="0" w:firstColumn="1" w:lastColumn="0" w:noHBand="0" w:noVBand="1"/>
      </w:tblPr>
      <w:tblGrid>
        <w:gridCol w:w="2610"/>
        <w:gridCol w:w="990"/>
        <w:gridCol w:w="990"/>
        <w:gridCol w:w="990"/>
        <w:gridCol w:w="990"/>
        <w:gridCol w:w="990"/>
        <w:gridCol w:w="990"/>
        <w:gridCol w:w="990"/>
        <w:gridCol w:w="990"/>
      </w:tblGrid>
      <w:tr w:rsidR="00164E4A" w:rsidRPr="00CF5C47" w:rsidTr="00A90B6B">
        <w:tc>
          <w:tcPr>
            <w:tcW w:w="2610" w:type="dxa"/>
            <w:tcBorders>
              <w:bottom w:val="single" w:sz="4" w:space="0" w:color="auto"/>
            </w:tcBorders>
            <w:shd w:val="pct10" w:color="auto" w:fill="auto"/>
          </w:tcPr>
          <w:p w:rsidR="00164E4A" w:rsidRPr="00CF5C47" w:rsidRDefault="00164E4A" w:rsidP="00164E4A">
            <w:pPr>
              <w:jc w:val="center"/>
              <w:rPr>
                <w:rFonts w:ascii="Arial Black" w:hAnsi="Arial Black"/>
                <w:b/>
                <w:sz w:val="16"/>
                <w:szCs w:val="16"/>
              </w:rPr>
            </w:pPr>
            <w:r w:rsidRPr="00CF5C47">
              <w:rPr>
                <w:rFonts w:ascii="Arial Black" w:hAnsi="Arial Black"/>
                <w:b/>
                <w:sz w:val="16"/>
                <w:szCs w:val="16"/>
              </w:rPr>
              <w:t xml:space="preserve">PREA </w:t>
            </w:r>
            <w:r>
              <w:rPr>
                <w:rFonts w:ascii="Arial Black" w:hAnsi="Arial Black"/>
                <w:b/>
                <w:sz w:val="16"/>
                <w:szCs w:val="16"/>
              </w:rPr>
              <w:t>Codes</w:t>
            </w:r>
          </w:p>
        </w:tc>
        <w:tc>
          <w:tcPr>
            <w:tcW w:w="990" w:type="dxa"/>
            <w:shd w:val="pct10" w:color="auto" w:fill="auto"/>
          </w:tcPr>
          <w:p w:rsidR="00164E4A" w:rsidRPr="00CF5C47" w:rsidRDefault="00164E4A" w:rsidP="00164E4A">
            <w:pPr>
              <w:jc w:val="center"/>
              <w:rPr>
                <w:rFonts w:ascii="Arial Black" w:hAnsi="Arial Black"/>
                <w:b/>
                <w:sz w:val="16"/>
                <w:szCs w:val="16"/>
              </w:rPr>
            </w:pPr>
            <w:r w:rsidRPr="00CF5C47">
              <w:rPr>
                <w:rFonts w:ascii="Arial Black" w:hAnsi="Arial Black"/>
                <w:b/>
                <w:sz w:val="16"/>
                <w:szCs w:val="16"/>
              </w:rPr>
              <w:t xml:space="preserve">2013 </w:t>
            </w:r>
          </w:p>
        </w:tc>
        <w:tc>
          <w:tcPr>
            <w:tcW w:w="990" w:type="dxa"/>
            <w:shd w:val="pct10" w:color="auto" w:fill="auto"/>
          </w:tcPr>
          <w:p w:rsidR="00164E4A" w:rsidRPr="00CF5C47" w:rsidRDefault="00164E4A" w:rsidP="00164E4A">
            <w:pPr>
              <w:jc w:val="center"/>
              <w:rPr>
                <w:rFonts w:ascii="Arial Black" w:hAnsi="Arial Black"/>
                <w:b/>
                <w:sz w:val="16"/>
                <w:szCs w:val="16"/>
              </w:rPr>
            </w:pPr>
            <w:r w:rsidRPr="00CF5C47">
              <w:rPr>
                <w:rFonts w:ascii="Arial Black" w:hAnsi="Arial Black"/>
                <w:b/>
                <w:sz w:val="16"/>
                <w:szCs w:val="16"/>
              </w:rPr>
              <w:t xml:space="preserve">2014 </w:t>
            </w:r>
          </w:p>
        </w:tc>
        <w:tc>
          <w:tcPr>
            <w:tcW w:w="990" w:type="dxa"/>
            <w:shd w:val="pct10" w:color="auto" w:fill="auto"/>
          </w:tcPr>
          <w:p w:rsidR="00164E4A" w:rsidRPr="00CF5C47" w:rsidRDefault="00164E4A" w:rsidP="00164E4A">
            <w:pPr>
              <w:jc w:val="center"/>
              <w:rPr>
                <w:rFonts w:ascii="Arial Black" w:hAnsi="Arial Black"/>
                <w:b/>
                <w:sz w:val="16"/>
                <w:szCs w:val="16"/>
              </w:rPr>
            </w:pPr>
            <w:r w:rsidRPr="00CF5C47">
              <w:rPr>
                <w:rFonts w:ascii="Arial Black" w:hAnsi="Arial Black"/>
                <w:b/>
                <w:sz w:val="16"/>
                <w:szCs w:val="16"/>
              </w:rPr>
              <w:t xml:space="preserve">2015 </w:t>
            </w:r>
          </w:p>
        </w:tc>
        <w:tc>
          <w:tcPr>
            <w:tcW w:w="990" w:type="dxa"/>
            <w:shd w:val="pct10" w:color="auto" w:fill="auto"/>
          </w:tcPr>
          <w:p w:rsidR="00164E4A" w:rsidRPr="00CF5C47" w:rsidRDefault="00164E4A" w:rsidP="00164E4A">
            <w:pPr>
              <w:jc w:val="center"/>
              <w:rPr>
                <w:rFonts w:ascii="Arial Black" w:hAnsi="Arial Black"/>
                <w:b/>
                <w:sz w:val="16"/>
                <w:szCs w:val="16"/>
              </w:rPr>
            </w:pPr>
            <w:r w:rsidRPr="00CF5C47">
              <w:rPr>
                <w:rFonts w:ascii="Arial Black" w:hAnsi="Arial Black"/>
                <w:b/>
                <w:sz w:val="16"/>
                <w:szCs w:val="16"/>
              </w:rPr>
              <w:t xml:space="preserve">2016 </w:t>
            </w:r>
          </w:p>
        </w:tc>
        <w:tc>
          <w:tcPr>
            <w:tcW w:w="990" w:type="dxa"/>
            <w:shd w:val="pct10" w:color="auto" w:fill="auto"/>
          </w:tcPr>
          <w:p w:rsidR="00164E4A" w:rsidRPr="00CF5C47" w:rsidRDefault="00164E4A" w:rsidP="00164E4A">
            <w:pPr>
              <w:jc w:val="center"/>
              <w:rPr>
                <w:rFonts w:ascii="Arial Black" w:hAnsi="Arial Black"/>
                <w:b/>
                <w:sz w:val="16"/>
                <w:szCs w:val="16"/>
              </w:rPr>
            </w:pPr>
            <w:r w:rsidRPr="00CF5C47">
              <w:rPr>
                <w:rFonts w:ascii="Arial Black" w:hAnsi="Arial Black"/>
                <w:b/>
                <w:sz w:val="16"/>
                <w:szCs w:val="16"/>
              </w:rPr>
              <w:t xml:space="preserve">2017 </w:t>
            </w:r>
          </w:p>
        </w:tc>
        <w:tc>
          <w:tcPr>
            <w:tcW w:w="990" w:type="dxa"/>
            <w:shd w:val="pct10" w:color="auto" w:fill="auto"/>
          </w:tcPr>
          <w:p w:rsidR="00164E4A" w:rsidRPr="00CF5C47" w:rsidRDefault="00164E4A" w:rsidP="00164E4A">
            <w:pPr>
              <w:jc w:val="center"/>
              <w:rPr>
                <w:rFonts w:ascii="Arial Black" w:hAnsi="Arial Black"/>
                <w:b/>
                <w:sz w:val="16"/>
                <w:szCs w:val="16"/>
              </w:rPr>
            </w:pPr>
            <w:r w:rsidRPr="00CF5C47">
              <w:rPr>
                <w:rFonts w:ascii="Arial Black" w:hAnsi="Arial Black"/>
                <w:b/>
                <w:sz w:val="16"/>
                <w:szCs w:val="16"/>
              </w:rPr>
              <w:t xml:space="preserve">2018 </w:t>
            </w:r>
          </w:p>
        </w:tc>
        <w:tc>
          <w:tcPr>
            <w:tcW w:w="990" w:type="dxa"/>
            <w:shd w:val="pct10" w:color="auto" w:fill="auto"/>
          </w:tcPr>
          <w:p w:rsidR="00164E4A" w:rsidRPr="00CF5C47" w:rsidRDefault="00164E4A" w:rsidP="00164E4A">
            <w:pPr>
              <w:jc w:val="center"/>
              <w:rPr>
                <w:rFonts w:ascii="Arial Black" w:hAnsi="Arial Black"/>
                <w:b/>
                <w:sz w:val="16"/>
                <w:szCs w:val="16"/>
              </w:rPr>
            </w:pPr>
            <w:r w:rsidRPr="00CF5C47">
              <w:rPr>
                <w:rFonts w:ascii="Arial Black" w:hAnsi="Arial Black"/>
                <w:b/>
                <w:sz w:val="16"/>
                <w:szCs w:val="16"/>
              </w:rPr>
              <w:t xml:space="preserve">2019 </w:t>
            </w:r>
          </w:p>
        </w:tc>
        <w:tc>
          <w:tcPr>
            <w:tcW w:w="990" w:type="dxa"/>
            <w:shd w:val="pct10" w:color="auto" w:fill="auto"/>
          </w:tcPr>
          <w:p w:rsidR="00164E4A" w:rsidRPr="00CF5C47" w:rsidRDefault="00164E4A" w:rsidP="00164E4A">
            <w:pPr>
              <w:jc w:val="center"/>
              <w:rPr>
                <w:rFonts w:ascii="Arial Black" w:hAnsi="Arial Black"/>
                <w:b/>
                <w:sz w:val="16"/>
                <w:szCs w:val="16"/>
              </w:rPr>
            </w:pPr>
            <w:r w:rsidRPr="00CF5C47">
              <w:rPr>
                <w:rFonts w:ascii="Arial Black" w:hAnsi="Arial Black"/>
                <w:b/>
                <w:sz w:val="16"/>
                <w:szCs w:val="16"/>
              </w:rPr>
              <w:t xml:space="preserve">2020 </w:t>
            </w:r>
          </w:p>
        </w:tc>
      </w:tr>
      <w:tr w:rsidR="00164E4A" w:rsidRPr="00CF5C47" w:rsidTr="00A90B6B">
        <w:tc>
          <w:tcPr>
            <w:tcW w:w="2610" w:type="dxa"/>
            <w:shd w:val="clear" w:color="auto" w:fill="auto"/>
          </w:tcPr>
          <w:p w:rsidR="00164E4A" w:rsidRPr="00CF5C47" w:rsidRDefault="00164E4A" w:rsidP="00164E4A">
            <w:pPr>
              <w:pStyle w:val="ListParagraph"/>
              <w:ind w:left="0"/>
              <w:rPr>
                <w:sz w:val="16"/>
                <w:szCs w:val="16"/>
              </w:rPr>
            </w:pPr>
            <w:r w:rsidRPr="00CF5C47">
              <w:rPr>
                <w:b/>
                <w:sz w:val="16"/>
                <w:szCs w:val="16"/>
              </w:rPr>
              <w:t xml:space="preserve"> PY1-</w:t>
            </w:r>
            <w:r w:rsidRPr="00CF5C47">
              <w:rPr>
                <w:sz w:val="16"/>
                <w:szCs w:val="16"/>
              </w:rPr>
              <w:t xml:space="preserve"> Unwanted Penetration</w:t>
            </w:r>
          </w:p>
        </w:tc>
        <w:tc>
          <w:tcPr>
            <w:tcW w:w="990" w:type="dxa"/>
          </w:tcPr>
          <w:p w:rsidR="00164E4A" w:rsidRPr="001E02D1" w:rsidRDefault="00164E4A" w:rsidP="00164E4A">
            <w:pPr>
              <w:jc w:val="center"/>
              <w:rPr>
                <w:rFonts w:ascii="Arial Black" w:hAnsi="Arial Black"/>
                <w:sz w:val="16"/>
                <w:szCs w:val="16"/>
              </w:rPr>
            </w:pPr>
            <w:r>
              <w:rPr>
                <w:rFonts w:ascii="Arial Black" w:hAnsi="Arial Black"/>
                <w:sz w:val="16"/>
                <w:szCs w:val="16"/>
              </w:rPr>
              <w:t>26</w:t>
            </w: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r>
      <w:tr w:rsidR="00164E4A" w:rsidRPr="00CF5C47" w:rsidTr="00A90B6B">
        <w:tc>
          <w:tcPr>
            <w:tcW w:w="2610" w:type="dxa"/>
            <w:shd w:val="clear" w:color="auto" w:fill="auto"/>
          </w:tcPr>
          <w:p w:rsidR="00164E4A" w:rsidRPr="00CF5C47" w:rsidRDefault="00164E4A" w:rsidP="00164E4A">
            <w:pPr>
              <w:pStyle w:val="ListParagraph"/>
              <w:ind w:left="0"/>
              <w:rPr>
                <w:sz w:val="16"/>
                <w:szCs w:val="16"/>
              </w:rPr>
            </w:pPr>
            <w:r w:rsidRPr="00CF5C47">
              <w:rPr>
                <w:b/>
                <w:sz w:val="16"/>
                <w:szCs w:val="16"/>
              </w:rPr>
              <w:t xml:space="preserve"> PY2</w:t>
            </w:r>
            <w:r w:rsidRPr="00CF5C47">
              <w:rPr>
                <w:sz w:val="16"/>
                <w:szCs w:val="16"/>
              </w:rPr>
              <w:t>-Unwanted Touching</w:t>
            </w:r>
          </w:p>
        </w:tc>
        <w:tc>
          <w:tcPr>
            <w:tcW w:w="990" w:type="dxa"/>
          </w:tcPr>
          <w:p w:rsidR="00164E4A" w:rsidRPr="001E02D1" w:rsidRDefault="00164E4A" w:rsidP="00164E4A">
            <w:pPr>
              <w:jc w:val="center"/>
              <w:rPr>
                <w:rFonts w:ascii="Arial Black" w:hAnsi="Arial Black"/>
                <w:sz w:val="16"/>
                <w:szCs w:val="16"/>
              </w:rPr>
            </w:pPr>
            <w:r>
              <w:rPr>
                <w:rFonts w:ascii="Arial Black" w:hAnsi="Arial Black"/>
                <w:sz w:val="16"/>
                <w:szCs w:val="16"/>
              </w:rPr>
              <w:t>50</w:t>
            </w: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r>
      <w:tr w:rsidR="00164E4A" w:rsidRPr="00CF5C47" w:rsidTr="00A90B6B">
        <w:tc>
          <w:tcPr>
            <w:tcW w:w="2610" w:type="dxa"/>
            <w:shd w:val="clear" w:color="auto" w:fill="auto"/>
          </w:tcPr>
          <w:p w:rsidR="00164E4A" w:rsidRPr="00CF5C47" w:rsidRDefault="00164E4A" w:rsidP="00164E4A">
            <w:pPr>
              <w:pStyle w:val="ListParagraph"/>
              <w:ind w:left="0"/>
              <w:rPr>
                <w:sz w:val="16"/>
                <w:szCs w:val="16"/>
              </w:rPr>
            </w:pPr>
            <w:r w:rsidRPr="00CF5C47">
              <w:rPr>
                <w:sz w:val="16"/>
                <w:szCs w:val="16"/>
              </w:rPr>
              <w:t xml:space="preserve"> </w:t>
            </w:r>
            <w:r w:rsidRPr="00CF5C47">
              <w:rPr>
                <w:b/>
                <w:sz w:val="16"/>
                <w:szCs w:val="16"/>
              </w:rPr>
              <w:t>PY3</w:t>
            </w:r>
            <w:r w:rsidRPr="00CF5C47">
              <w:rPr>
                <w:sz w:val="16"/>
                <w:szCs w:val="16"/>
              </w:rPr>
              <w:t>- Harassment</w:t>
            </w:r>
          </w:p>
        </w:tc>
        <w:tc>
          <w:tcPr>
            <w:tcW w:w="990" w:type="dxa"/>
          </w:tcPr>
          <w:p w:rsidR="00164E4A" w:rsidRPr="001E02D1" w:rsidRDefault="00164E4A" w:rsidP="00164E4A">
            <w:pPr>
              <w:jc w:val="center"/>
              <w:rPr>
                <w:rFonts w:ascii="Arial Black" w:hAnsi="Arial Black"/>
                <w:sz w:val="16"/>
                <w:szCs w:val="16"/>
              </w:rPr>
            </w:pPr>
            <w:r>
              <w:rPr>
                <w:rFonts w:ascii="Arial Black" w:hAnsi="Arial Black"/>
                <w:sz w:val="16"/>
                <w:szCs w:val="16"/>
              </w:rPr>
              <w:t>64</w:t>
            </w: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r>
      <w:tr w:rsidR="00164E4A" w:rsidRPr="00CF5C47" w:rsidTr="00A90B6B">
        <w:tc>
          <w:tcPr>
            <w:tcW w:w="2610" w:type="dxa"/>
            <w:shd w:val="clear" w:color="auto" w:fill="auto"/>
          </w:tcPr>
          <w:p w:rsidR="00164E4A" w:rsidRPr="00CF5C47" w:rsidRDefault="00164E4A" w:rsidP="00164E4A">
            <w:pPr>
              <w:pStyle w:val="ListParagraph"/>
              <w:ind w:left="0"/>
              <w:rPr>
                <w:sz w:val="16"/>
                <w:szCs w:val="16"/>
              </w:rPr>
            </w:pPr>
            <w:r w:rsidRPr="00CF5C47">
              <w:rPr>
                <w:sz w:val="16"/>
                <w:szCs w:val="16"/>
              </w:rPr>
              <w:t xml:space="preserve"> </w:t>
            </w:r>
            <w:r w:rsidRPr="00CF5C47">
              <w:rPr>
                <w:b/>
                <w:sz w:val="16"/>
                <w:szCs w:val="16"/>
              </w:rPr>
              <w:t>PS1</w:t>
            </w:r>
            <w:r w:rsidRPr="00CF5C47">
              <w:rPr>
                <w:sz w:val="16"/>
                <w:szCs w:val="16"/>
              </w:rPr>
              <w:t>- Sexual Penetration</w:t>
            </w:r>
          </w:p>
        </w:tc>
        <w:tc>
          <w:tcPr>
            <w:tcW w:w="990" w:type="dxa"/>
          </w:tcPr>
          <w:p w:rsidR="00164E4A" w:rsidRPr="001E02D1" w:rsidRDefault="00164E4A" w:rsidP="00164E4A">
            <w:pPr>
              <w:jc w:val="center"/>
              <w:rPr>
                <w:rFonts w:ascii="Arial Black" w:hAnsi="Arial Black"/>
                <w:sz w:val="16"/>
                <w:szCs w:val="16"/>
              </w:rPr>
            </w:pPr>
            <w:r>
              <w:rPr>
                <w:rFonts w:ascii="Arial Black" w:hAnsi="Arial Black"/>
                <w:sz w:val="16"/>
                <w:szCs w:val="16"/>
              </w:rPr>
              <w:t>14</w:t>
            </w: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r>
      <w:tr w:rsidR="00164E4A" w:rsidRPr="00CF5C47" w:rsidTr="00A90B6B">
        <w:tc>
          <w:tcPr>
            <w:tcW w:w="2610" w:type="dxa"/>
            <w:shd w:val="clear" w:color="auto" w:fill="auto"/>
          </w:tcPr>
          <w:p w:rsidR="00164E4A" w:rsidRPr="00CF5C47" w:rsidRDefault="00164E4A" w:rsidP="00164E4A">
            <w:pPr>
              <w:pStyle w:val="ListParagraph"/>
              <w:ind w:left="0"/>
              <w:rPr>
                <w:sz w:val="16"/>
                <w:szCs w:val="16"/>
              </w:rPr>
            </w:pPr>
            <w:r w:rsidRPr="00CF5C47">
              <w:rPr>
                <w:sz w:val="16"/>
                <w:szCs w:val="16"/>
              </w:rPr>
              <w:t xml:space="preserve"> </w:t>
            </w:r>
            <w:r w:rsidRPr="00CF5C47">
              <w:rPr>
                <w:b/>
                <w:sz w:val="16"/>
                <w:szCs w:val="16"/>
              </w:rPr>
              <w:t>PS2</w:t>
            </w:r>
            <w:r w:rsidRPr="00CF5C47">
              <w:rPr>
                <w:sz w:val="16"/>
                <w:szCs w:val="16"/>
              </w:rPr>
              <w:t>- Non Penetration (Touching)</w:t>
            </w:r>
          </w:p>
        </w:tc>
        <w:tc>
          <w:tcPr>
            <w:tcW w:w="990" w:type="dxa"/>
          </w:tcPr>
          <w:p w:rsidR="00164E4A" w:rsidRPr="001E02D1" w:rsidRDefault="00164E4A" w:rsidP="00164E4A">
            <w:pPr>
              <w:jc w:val="center"/>
              <w:rPr>
                <w:rFonts w:ascii="Arial Black" w:hAnsi="Arial Black"/>
                <w:sz w:val="16"/>
                <w:szCs w:val="16"/>
              </w:rPr>
            </w:pPr>
            <w:r>
              <w:rPr>
                <w:rFonts w:ascii="Arial Black" w:hAnsi="Arial Black"/>
                <w:sz w:val="16"/>
                <w:szCs w:val="16"/>
              </w:rPr>
              <w:t>19</w:t>
            </w: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r>
      <w:tr w:rsidR="00164E4A" w:rsidRPr="00CF5C47" w:rsidTr="00A90B6B">
        <w:tc>
          <w:tcPr>
            <w:tcW w:w="2610" w:type="dxa"/>
            <w:shd w:val="clear" w:color="auto" w:fill="auto"/>
          </w:tcPr>
          <w:p w:rsidR="00164E4A" w:rsidRPr="00CF5C47" w:rsidRDefault="00164E4A" w:rsidP="00164E4A">
            <w:pPr>
              <w:pStyle w:val="ListParagraph"/>
              <w:ind w:left="0"/>
              <w:rPr>
                <w:sz w:val="16"/>
                <w:szCs w:val="16"/>
              </w:rPr>
            </w:pPr>
            <w:r w:rsidRPr="00CF5C47">
              <w:rPr>
                <w:sz w:val="16"/>
                <w:szCs w:val="16"/>
              </w:rPr>
              <w:t xml:space="preserve"> </w:t>
            </w:r>
            <w:r w:rsidRPr="00CF5C47">
              <w:rPr>
                <w:b/>
                <w:sz w:val="16"/>
                <w:szCs w:val="16"/>
              </w:rPr>
              <w:t>PS3</w:t>
            </w:r>
            <w:r w:rsidRPr="00CF5C47">
              <w:rPr>
                <w:sz w:val="16"/>
                <w:szCs w:val="16"/>
              </w:rPr>
              <w:t>- Indecent Exposure</w:t>
            </w:r>
          </w:p>
        </w:tc>
        <w:tc>
          <w:tcPr>
            <w:tcW w:w="990" w:type="dxa"/>
          </w:tcPr>
          <w:p w:rsidR="00164E4A" w:rsidRPr="001E02D1" w:rsidRDefault="00164E4A" w:rsidP="00164E4A">
            <w:pPr>
              <w:jc w:val="center"/>
              <w:rPr>
                <w:rFonts w:ascii="Arial Black" w:hAnsi="Arial Black"/>
                <w:sz w:val="16"/>
                <w:szCs w:val="16"/>
              </w:rPr>
            </w:pPr>
            <w:r>
              <w:rPr>
                <w:rFonts w:ascii="Arial Black" w:hAnsi="Arial Black"/>
                <w:sz w:val="16"/>
                <w:szCs w:val="16"/>
              </w:rPr>
              <w:t>2</w:t>
            </w: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c>
          <w:tcPr>
            <w:tcW w:w="990" w:type="dxa"/>
          </w:tcPr>
          <w:p w:rsidR="00164E4A" w:rsidRPr="00CF5C47" w:rsidRDefault="00164E4A" w:rsidP="00164E4A">
            <w:pPr>
              <w:jc w:val="center"/>
              <w:rPr>
                <w:sz w:val="16"/>
                <w:szCs w:val="16"/>
              </w:rPr>
            </w:pPr>
          </w:p>
        </w:tc>
      </w:tr>
      <w:tr w:rsidR="00164E4A" w:rsidRPr="00CF5C47" w:rsidTr="00A90B6B">
        <w:tc>
          <w:tcPr>
            <w:tcW w:w="2610" w:type="dxa"/>
            <w:tcBorders>
              <w:bottom w:val="single" w:sz="4" w:space="0" w:color="auto"/>
            </w:tcBorders>
            <w:shd w:val="clear" w:color="auto" w:fill="auto"/>
          </w:tcPr>
          <w:p w:rsidR="00164E4A" w:rsidRPr="00CF5C47" w:rsidRDefault="00164E4A" w:rsidP="00164E4A">
            <w:pPr>
              <w:pStyle w:val="ListParagraph"/>
              <w:ind w:left="0"/>
              <w:rPr>
                <w:sz w:val="16"/>
                <w:szCs w:val="16"/>
              </w:rPr>
            </w:pPr>
            <w:r w:rsidRPr="00CF5C47">
              <w:rPr>
                <w:sz w:val="16"/>
                <w:szCs w:val="16"/>
              </w:rPr>
              <w:t xml:space="preserve"> </w:t>
            </w:r>
            <w:r w:rsidRPr="00CF5C47">
              <w:rPr>
                <w:b/>
                <w:sz w:val="16"/>
                <w:szCs w:val="16"/>
              </w:rPr>
              <w:t>PS4</w:t>
            </w:r>
            <w:r w:rsidRPr="00CF5C47">
              <w:rPr>
                <w:sz w:val="16"/>
                <w:szCs w:val="16"/>
              </w:rPr>
              <w:t>- Harassment/Voyeurism</w:t>
            </w:r>
          </w:p>
        </w:tc>
        <w:tc>
          <w:tcPr>
            <w:tcW w:w="990" w:type="dxa"/>
            <w:tcBorders>
              <w:bottom w:val="single" w:sz="4" w:space="0" w:color="auto"/>
            </w:tcBorders>
          </w:tcPr>
          <w:p w:rsidR="00164E4A" w:rsidRPr="001E02D1" w:rsidRDefault="00164E4A" w:rsidP="00164E4A">
            <w:pPr>
              <w:jc w:val="center"/>
              <w:rPr>
                <w:rFonts w:ascii="Arial Black" w:hAnsi="Arial Black"/>
                <w:sz w:val="16"/>
                <w:szCs w:val="16"/>
              </w:rPr>
            </w:pPr>
            <w:r>
              <w:rPr>
                <w:rFonts w:ascii="Arial Black" w:hAnsi="Arial Black"/>
                <w:sz w:val="16"/>
                <w:szCs w:val="16"/>
              </w:rPr>
              <w:t>22</w:t>
            </w:r>
          </w:p>
        </w:tc>
        <w:tc>
          <w:tcPr>
            <w:tcW w:w="990" w:type="dxa"/>
            <w:tcBorders>
              <w:bottom w:val="single" w:sz="4" w:space="0" w:color="auto"/>
            </w:tcBorders>
          </w:tcPr>
          <w:p w:rsidR="00164E4A" w:rsidRPr="00CF5C47" w:rsidRDefault="00164E4A" w:rsidP="00164E4A">
            <w:pPr>
              <w:jc w:val="center"/>
              <w:rPr>
                <w:sz w:val="16"/>
                <w:szCs w:val="16"/>
              </w:rPr>
            </w:pPr>
          </w:p>
        </w:tc>
        <w:tc>
          <w:tcPr>
            <w:tcW w:w="990" w:type="dxa"/>
            <w:tcBorders>
              <w:bottom w:val="single" w:sz="4" w:space="0" w:color="auto"/>
            </w:tcBorders>
          </w:tcPr>
          <w:p w:rsidR="00164E4A" w:rsidRPr="00CF5C47" w:rsidRDefault="00164E4A" w:rsidP="00164E4A">
            <w:pPr>
              <w:jc w:val="center"/>
              <w:rPr>
                <w:sz w:val="16"/>
                <w:szCs w:val="16"/>
              </w:rPr>
            </w:pPr>
          </w:p>
        </w:tc>
        <w:tc>
          <w:tcPr>
            <w:tcW w:w="990" w:type="dxa"/>
            <w:tcBorders>
              <w:bottom w:val="single" w:sz="4" w:space="0" w:color="auto"/>
            </w:tcBorders>
          </w:tcPr>
          <w:p w:rsidR="00164E4A" w:rsidRPr="00CF5C47" w:rsidRDefault="00164E4A" w:rsidP="00164E4A">
            <w:pPr>
              <w:jc w:val="center"/>
              <w:rPr>
                <w:sz w:val="16"/>
                <w:szCs w:val="16"/>
              </w:rPr>
            </w:pPr>
          </w:p>
        </w:tc>
        <w:tc>
          <w:tcPr>
            <w:tcW w:w="990" w:type="dxa"/>
            <w:tcBorders>
              <w:bottom w:val="single" w:sz="4" w:space="0" w:color="auto"/>
            </w:tcBorders>
          </w:tcPr>
          <w:p w:rsidR="00164E4A" w:rsidRPr="00CF5C47" w:rsidRDefault="00164E4A" w:rsidP="00164E4A">
            <w:pPr>
              <w:jc w:val="center"/>
              <w:rPr>
                <w:sz w:val="16"/>
                <w:szCs w:val="16"/>
              </w:rPr>
            </w:pPr>
          </w:p>
        </w:tc>
        <w:tc>
          <w:tcPr>
            <w:tcW w:w="990" w:type="dxa"/>
            <w:tcBorders>
              <w:bottom w:val="single" w:sz="4" w:space="0" w:color="auto"/>
            </w:tcBorders>
          </w:tcPr>
          <w:p w:rsidR="00164E4A" w:rsidRPr="00CF5C47" w:rsidRDefault="00164E4A" w:rsidP="00164E4A">
            <w:pPr>
              <w:jc w:val="center"/>
              <w:rPr>
                <w:sz w:val="16"/>
                <w:szCs w:val="16"/>
              </w:rPr>
            </w:pPr>
          </w:p>
        </w:tc>
        <w:tc>
          <w:tcPr>
            <w:tcW w:w="990" w:type="dxa"/>
            <w:tcBorders>
              <w:bottom w:val="single" w:sz="4" w:space="0" w:color="auto"/>
            </w:tcBorders>
          </w:tcPr>
          <w:p w:rsidR="00164E4A" w:rsidRPr="00CF5C47" w:rsidRDefault="00164E4A" w:rsidP="00164E4A">
            <w:pPr>
              <w:jc w:val="center"/>
              <w:rPr>
                <w:sz w:val="16"/>
                <w:szCs w:val="16"/>
              </w:rPr>
            </w:pPr>
          </w:p>
        </w:tc>
        <w:tc>
          <w:tcPr>
            <w:tcW w:w="990" w:type="dxa"/>
            <w:tcBorders>
              <w:bottom w:val="single" w:sz="4" w:space="0" w:color="auto"/>
            </w:tcBorders>
          </w:tcPr>
          <w:p w:rsidR="00164E4A" w:rsidRPr="00CF5C47" w:rsidRDefault="00164E4A" w:rsidP="00164E4A">
            <w:pPr>
              <w:jc w:val="center"/>
              <w:rPr>
                <w:sz w:val="16"/>
                <w:szCs w:val="16"/>
              </w:rPr>
            </w:pPr>
          </w:p>
        </w:tc>
      </w:tr>
      <w:tr w:rsidR="00164E4A" w:rsidRPr="00CF5C47" w:rsidTr="00A90B6B">
        <w:tc>
          <w:tcPr>
            <w:tcW w:w="2610" w:type="dxa"/>
            <w:shd w:val="pct10" w:color="auto" w:fill="auto"/>
          </w:tcPr>
          <w:p w:rsidR="00164E4A" w:rsidRPr="00CF5C47" w:rsidRDefault="00164E4A" w:rsidP="00164E4A">
            <w:pPr>
              <w:pStyle w:val="ListParagraph"/>
              <w:ind w:left="0"/>
              <w:jc w:val="center"/>
              <w:rPr>
                <w:rFonts w:ascii="Arial Black" w:hAnsi="Arial Black"/>
                <w:b/>
                <w:sz w:val="16"/>
                <w:szCs w:val="16"/>
              </w:rPr>
            </w:pPr>
            <w:r w:rsidRPr="00CF5C47">
              <w:rPr>
                <w:rFonts w:ascii="Arial Black" w:hAnsi="Arial Black"/>
                <w:b/>
                <w:sz w:val="16"/>
                <w:szCs w:val="16"/>
              </w:rPr>
              <w:t xml:space="preserve">Total Alleged PREA </w:t>
            </w:r>
            <w:r>
              <w:rPr>
                <w:rFonts w:ascii="Arial Black" w:hAnsi="Arial Black"/>
                <w:b/>
                <w:sz w:val="16"/>
                <w:szCs w:val="16"/>
              </w:rPr>
              <w:t>Incidents</w:t>
            </w:r>
          </w:p>
        </w:tc>
        <w:tc>
          <w:tcPr>
            <w:tcW w:w="990" w:type="dxa"/>
            <w:shd w:val="pct10" w:color="auto" w:fill="auto"/>
          </w:tcPr>
          <w:p w:rsidR="00164E4A" w:rsidRPr="001E02D1" w:rsidRDefault="00164E4A" w:rsidP="00164E4A">
            <w:pPr>
              <w:pStyle w:val="ListParagraph"/>
              <w:ind w:left="0"/>
              <w:jc w:val="center"/>
              <w:rPr>
                <w:rFonts w:ascii="Arial Black" w:hAnsi="Arial Black"/>
                <w:b/>
                <w:sz w:val="16"/>
                <w:szCs w:val="16"/>
              </w:rPr>
            </w:pPr>
            <w:r>
              <w:rPr>
                <w:rFonts w:ascii="Arial Black" w:hAnsi="Arial Black"/>
                <w:b/>
                <w:sz w:val="16"/>
                <w:szCs w:val="16"/>
              </w:rPr>
              <w:t>197</w:t>
            </w:r>
          </w:p>
        </w:tc>
        <w:tc>
          <w:tcPr>
            <w:tcW w:w="990" w:type="dxa"/>
            <w:shd w:val="pct10" w:color="auto" w:fill="auto"/>
          </w:tcPr>
          <w:p w:rsidR="00164E4A" w:rsidRPr="00CF5C47" w:rsidRDefault="00164E4A" w:rsidP="00164E4A">
            <w:pPr>
              <w:jc w:val="center"/>
              <w:rPr>
                <w:rFonts w:ascii="Arial Black" w:hAnsi="Arial Black"/>
                <w:sz w:val="16"/>
                <w:szCs w:val="16"/>
              </w:rPr>
            </w:pPr>
          </w:p>
        </w:tc>
        <w:tc>
          <w:tcPr>
            <w:tcW w:w="990" w:type="dxa"/>
            <w:shd w:val="pct10" w:color="auto" w:fill="auto"/>
          </w:tcPr>
          <w:p w:rsidR="00164E4A" w:rsidRPr="00CF5C47" w:rsidRDefault="00164E4A" w:rsidP="00164E4A">
            <w:pPr>
              <w:jc w:val="center"/>
              <w:rPr>
                <w:rFonts w:ascii="Arial Black" w:hAnsi="Arial Black"/>
                <w:sz w:val="16"/>
                <w:szCs w:val="16"/>
              </w:rPr>
            </w:pPr>
          </w:p>
        </w:tc>
        <w:tc>
          <w:tcPr>
            <w:tcW w:w="990" w:type="dxa"/>
            <w:shd w:val="pct10" w:color="auto" w:fill="auto"/>
          </w:tcPr>
          <w:p w:rsidR="00164E4A" w:rsidRPr="00CF5C47" w:rsidRDefault="00164E4A" w:rsidP="00164E4A">
            <w:pPr>
              <w:jc w:val="center"/>
              <w:rPr>
                <w:rFonts w:ascii="Arial Black" w:hAnsi="Arial Black"/>
                <w:sz w:val="16"/>
                <w:szCs w:val="16"/>
              </w:rPr>
            </w:pPr>
          </w:p>
        </w:tc>
        <w:tc>
          <w:tcPr>
            <w:tcW w:w="990" w:type="dxa"/>
            <w:shd w:val="pct10" w:color="auto" w:fill="auto"/>
          </w:tcPr>
          <w:p w:rsidR="00164E4A" w:rsidRPr="00CF5C47" w:rsidRDefault="00164E4A" w:rsidP="00164E4A">
            <w:pPr>
              <w:jc w:val="center"/>
              <w:rPr>
                <w:rFonts w:ascii="Arial Black" w:hAnsi="Arial Black"/>
                <w:sz w:val="16"/>
                <w:szCs w:val="16"/>
              </w:rPr>
            </w:pPr>
          </w:p>
        </w:tc>
        <w:tc>
          <w:tcPr>
            <w:tcW w:w="990" w:type="dxa"/>
            <w:shd w:val="pct10" w:color="auto" w:fill="auto"/>
          </w:tcPr>
          <w:p w:rsidR="00164E4A" w:rsidRPr="00CF5C47" w:rsidRDefault="00164E4A" w:rsidP="00164E4A">
            <w:pPr>
              <w:jc w:val="center"/>
              <w:rPr>
                <w:rFonts w:ascii="Arial Black" w:hAnsi="Arial Black"/>
                <w:sz w:val="16"/>
                <w:szCs w:val="16"/>
              </w:rPr>
            </w:pPr>
          </w:p>
        </w:tc>
        <w:tc>
          <w:tcPr>
            <w:tcW w:w="990" w:type="dxa"/>
            <w:shd w:val="pct10" w:color="auto" w:fill="auto"/>
          </w:tcPr>
          <w:p w:rsidR="00164E4A" w:rsidRPr="00CF5C47" w:rsidRDefault="00164E4A" w:rsidP="00164E4A">
            <w:pPr>
              <w:jc w:val="center"/>
              <w:rPr>
                <w:rFonts w:ascii="Arial Black" w:hAnsi="Arial Black"/>
                <w:sz w:val="16"/>
                <w:szCs w:val="16"/>
              </w:rPr>
            </w:pPr>
          </w:p>
        </w:tc>
        <w:tc>
          <w:tcPr>
            <w:tcW w:w="990" w:type="dxa"/>
            <w:shd w:val="pct10" w:color="auto" w:fill="auto"/>
          </w:tcPr>
          <w:p w:rsidR="00164E4A" w:rsidRPr="00CF5C47" w:rsidRDefault="00164E4A" w:rsidP="00164E4A">
            <w:pPr>
              <w:jc w:val="center"/>
              <w:rPr>
                <w:rFonts w:ascii="Arial Black" w:hAnsi="Arial Black"/>
                <w:sz w:val="16"/>
                <w:szCs w:val="16"/>
              </w:rPr>
            </w:pPr>
          </w:p>
        </w:tc>
      </w:tr>
    </w:tbl>
    <w:p w:rsidR="00164E4A" w:rsidRDefault="00164E4A" w:rsidP="00B211A1">
      <w:pPr>
        <w:spacing w:after="0" w:line="240" w:lineRule="auto"/>
        <w:jc w:val="center"/>
        <w:rPr>
          <w:rFonts w:ascii="Arial Black" w:hAnsi="Arial Black" w:cstheme="minorHAnsi"/>
        </w:rPr>
      </w:pPr>
    </w:p>
    <w:p w:rsidR="00A90B6B" w:rsidRDefault="00A90B6B" w:rsidP="00B211A1">
      <w:pPr>
        <w:spacing w:after="0" w:line="240" w:lineRule="auto"/>
        <w:jc w:val="center"/>
        <w:rPr>
          <w:rFonts w:ascii="Arial Black" w:hAnsi="Arial Black" w:cstheme="minorHAnsi"/>
        </w:rPr>
      </w:pPr>
    </w:p>
    <w:p w:rsidR="000F79AB" w:rsidRPr="00BA06F2" w:rsidRDefault="00D7332B" w:rsidP="00B211A1">
      <w:pPr>
        <w:spacing w:after="0" w:line="240" w:lineRule="auto"/>
        <w:jc w:val="center"/>
        <w:rPr>
          <w:rFonts w:ascii="Arial Black" w:hAnsi="Arial Black" w:cstheme="minorHAnsi"/>
        </w:rPr>
      </w:pPr>
      <w:r w:rsidRPr="00BA06F2">
        <w:rPr>
          <w:rFonts w:ascii="Arial Black" w:hAnsi="Arial Black" w:cstheme="minorHAnsi"/>
        </w:rPr>
        <w:lastRenderedPageBreak/>
        <w:t>Identif</w:t>
      </w:r>
      <w:r w:rsidR="008A4FF1" w:rsidRPr="00BA06F2">
        <w:rPr>
          <w:rFonts w:ascii="Arial Black" w:hAnsi="Arial Black" w:cstheme="minorHAnsi"/>
        </w:rPr>
        <w:t>ied</w:t>
      </w:r>
      <w:r w:rsidRPr="00BA06F2">
        <w:rPr>
          <w:rFonts w:ascii="Arial Black" w:hAnsi="Arial Black" w:cstheme="minorHAnsi"/>
        </w:rPr>
        <w:t xml:space="preserve"> </w:t>
      </w:r>
      <w:r w:rsidR="008A4FF1" w:rsidRPr="00BA06F2">
        <w:rPr>
          <w:rFonts w:ascii="Arial Black" w:hAnsi="Arial Black" w:cstheme="minorHAnsi"/>
        </w:rPr>
        <w:t xml:space="preserve">PREA </w:t>
      </w:r>
      <w:r w:rsidR="0038675B" w:rsidRPr="00BA06F2">
        <w:rPr>
          <w:rFonts w:ascii="Arial Black" w:hAnsi="Arial Black" w:cstheme="minorHAnsi"/>
        </w:rPr>
        <w:t>Issues</w:t>
      </w:r>
      <w:r w:rsidR="00B211A1" w:rsidRPr="00BA06F2">
        <w:rPr>
          <w:rFonts w:ascii="Arial Black" w:hAnsi="Arial Black" w:cstheme="minorHAnsi"/>
        </w:rPr>
        <w:t xml:space="preserve"> of Concern </w:t>
      </w:r>
      <w:r w:rsidR="000F79AB" w:rsidRPr="00BA06F2">
        <w:rPr>
          <w:rFonts w:ascii="Arial Black" w:hAnsi="Arial Black" w:cstheme="minorHAnsi"/>
        </w:rPr>
        <w:t>(Agency-wide)</w:t>
      </w:r>
    </w:p>
    <w:p w:rsidR="007D1E7D" w:rsidRPr="00BA06F2" w:rsidRDefault="007D1E7D" w:rsidP="00B211A1">
      <w:pPr>
        <w:spacing w:after="0" w:line="240" w:lineRule="auto"/>
        <w:rPr>
          <w:rFonts w:cstheme="minorHAnsi"/>
        </w:rPr>
      </w:pPr>
    </w:p>
    <w:p w:rsidR="007D1E7D" w:rsidRPr="00BA06F2" w:rsidRDefault="00B211A1" w:rsidP="00B211A1">
      <w:pPr>
        <w:spacing w:after="0" w:line="240" w:lineRule="auto"/>
        <w:jc w:val="both"/>
        <w:rPr>
          <w:rFonts w:cs="Arial"/>
          <w:bCs/>
        </w:rPr>
      </w:pPr>
      <w:r w:rsidRPr="00BA06F2">
        <w:rPr>
          <w:rFonts w:cs="Arial"/>
          <w:b/>
          <w:bCs/>
        </w:rPr>
        <w:t>Concern #1:</w:t>
      </w:r>
      <w:r w:rsidRPr="00BA06F2">
        <w:rPr>
          <w:rFonts w:cs="Arial"/>
          <w:bCs/>
        </w:rPr>
        <w:t xml:space="preserve"> </w:t>
      </w:r>
      <w:r w:rsidR="007D1E7D" w:rsidRPr="00BA06F2">
        <w:rPr>
          <w:rFonts w:cs="Arial"/>
          <w:bCs/>
        </w:rPr>
        <w:t xml:space="preserve">The </w:t>
      </w:r>
      <w:r w:rsidR="00E93423" w:rsidRPr="00BA06F2">
        <w:rPr>
          <w:rFonts w:cs="Arial"/>
          <w:bCs/>
        </w:rPr>
        <w:t>agencies</w:t>
      </w:r>
      <w:r w:rsidR="007D1E7D" w:rsidRPr="00BA06F2">
        <w:rPr>
          <w:rFonts w:cs="Arial"/>
          <w:bCs/>
        </w:rPr>
        <w:t xml:space="preserve"> determined that the </w:t>
      </w:r>
      <w:r w:rsidR="005B736F" w:rsidRPr="00BA06F2">
        <w:rPr>
          <w:rFonts w:cs="Arial"/>
          <w:bCs/>
        </w:rPr>
        <w:t>PREA codes</w:t>
      </w:r>
      <w:r w:rsidR="007D1E7D" w:rsidRPr="00BA06F2">
        <w:rPr>
          <w:rFonts w:cs="Arial"/>
          <w:bCs/>
        </w:rPr>
        <w:t xml:space="preserve"> did not meet the Department of Justice definition of sexual abuse and sexual harassment</w:t>
      </w:r>
      <w:r w:rsidR="00311C33" w:rsidRPr="00BA06F2">
        <w:rPr>
          <w:rFonts w:cs="Arial"/>
          <w:bCs/>
        </w:rPr>
        <w:t>.</w:t>
      </w:r>
      <w:r w:rsidR="007D1E7D" w:rsidRPr="00BA06F2">
        <w:rPr>
          <w:rFonts w:cs="Arial"/>
          <w:bCs/>
        </w:rPr>
        <w:t xml:space="preserve"> </w:t>
      </w:r>
    </w:p>
    <w:p w:rsidR="00B211A1" w:rsidRPr="00BA06F2" w:rsidRDefault="00B211A1" w:rsidP="00B211A1">
      <w:pPr>
        <w:spacing w:after="0" w:line="240" w:lineRule="auto"/>
        <w:jc w:val="both"/>
        <w:rPr>
          <w:rFonts w:cs="Arial"/>
          <w:bCs/>
          <w:i/>
        </w:rPr>
      </w:pPr>
    </w:p>
    <w:p w:rsidR="00B211A1" w:rsidRPr="00BA06F2" w:rsidRDefault="00B211A1" w:rsidP="00B211A1">
      <w:pPr>
        <w:spacing w:after="0" w:line="240" w:lineRule="auto"/>
        <w:jc w:val="both"/>
        <w:rPr>
          <w:rFonts w:cs="Arial"/>
          <w:b/>
          <w:bCs/>
          <w:i/>
          <w:u w:val="single"/>
        </w:rPr>
      </w:pPr>
      <w:r w:rsidRPr="00BA06F2">
        <w:rPr>
          <w:rFonts w:cs="Arial"/>
          <w:b/>
          <w:bCs/>
          <w:i/>
          <w:u w:val="single"/>
        </w:rPr>
        <w:t>Corrective Actions:</w:t>
      </w:r>
    </w:p>
    <w:p w:rsidR="00B211A1" w:rsidRPr="00BA06F2" w:rsidRDefault="00B211A1" w:rsidP="00B211A1">
      <w:pPr>
        <w:spacing w:after="0" w:line="240" w:lineRule="auto"/>
        <w:jc w:val="both"/>
        <w:rPr>
          <w:rFonts w:cs="Arial"/>
          <w:bCs/>
          <w:i/>
        </w:rPr>
      </w:pPr>
    </w:p>
    <w:p w:rsidR="007D1E7D" w:rsidRPr="00BA06F2" w:rsidRDefault="007D1E7D" w:rsidP="0018469E">
      <w:pPr>
        <w:pStyle w:val="ListParagraph"/>
        <w:numPr>
          <w:ilvl w:val="0"/>
          <w:numId w:val="31"/>
        </w:numPr>
        <w:spacing w:after="0" w:line="240" w:lineRule="auto"/>
        <w:rPr>
          <w:rFonts w:cs="Arial"/>
          <w:bCs/>
        </w:rPr>
      </w:pPr>
      <w:r w:rsidRPr="00BA06F2">
        <w:rPr>
          <w:rFonts w:cs="Arial"/>
          <w:bCs/>
        </w:rPr>
        <w:t xml:space="preserve">The agency </w:t>
      </w:r>
      <w:r w:rsidR="004F410B" w:rsidRPr="00BA06F2">
        <w:rPr>
          <w:lang w:val="en"/>
        </w:rPr>
        <w:t>revised</w:t>
      </w:r>
      <w:r w:rsidR="00B211A1" w:rsidRPr="00BA06F2">
        <w:rPr>
          <w:lang w:val="en"/>
        </w:rPr>
        <w:t xml:space="preserve"> PREA codes to</w:t>
      </w:r>
      <w:r w:rsidR="00B211A1" w:rsidRPr="00BA06F2">
        <w:rPr>
          <w:b/>
          <w:lang w:val="en"/>
        </w:rPr>
        <w:t xml:space="preserve"> </w:t>
      </w:r>
      <w:r w:rsidR="00B211A1" w:rsidRPr="00BA06F2">
        <w:rPr>
          <w:rFonts w:cs="Arial"/>
          <w:bCs/>
        </w:rPr>
        <w:t>c</w:t>
      </w:r>
      <w:r w:rsidRPr="00BA06F2">
        <w:rPr>
          <w:rFonts w:cs="Arial"/>
          <w:bCs/>
        </w:rPr>
        <w:t xml:space="preserve">learly </w:t>
      </w:r>
      <w:r w:rsidR="00E93423" w:rsidRPr="00BA06F2">
        <w:rPr>
          <w:rFonts w:cs="Arial"/>
          <w:bCs/>
        </w:rPr>
        <w:t>meet</w:t>
      </w:r>
      <w:r w:rsidR="00B211A1" w:rsidRPr="00BA06F2">
        <w:rPr>
          <w:rFonts w:cs="Arial"/>
          <w:bCs/>
        </w:rPr>
        <w:t xml:space="preserve"> </w:t>
      </w:r>
      <w:r w:rsidR="000E18FC" w:rsidRPr="00BA06F2">
        <w:rPr>
          <w:rFonts w:cs="Arial"/>
          <w:bCs/>
        </w:rPr>
        <w:t>the Department</w:t>
      </w:r>
      <w:r w:rsidRPr="00BA06F2">
        <w:rPr>
          <w:rFonts w:cs="Arial"/>
          <w:bCs/>
        </w:rPr>
        <w:t xml:space="preserve"> of Justice definition of sexual abuse and sexual harassment</w:t>
      </w:r>
      <w:r w:rsidR="00B211A1" w:rsidRPr="00BA06F2">
        <w:rPr>
          <w:rFonts w:cs="Arial"/>
          <w:bCs/>
        </w:rPr>
        <w:t>.</w:t>
      </w:r>
      <w:r w:rsidRPr="00BA06F2">
        <w:rPr>
          <w:rFonts w:cs="Arial"/>
          <w:bCs/>
        </w:rPr>
        <w:t xml:space="preserve"> </w:t>
      </w:r>
    </w:p>
    <w:p w:rsidR="00B211A1" w:rsidRPr="00BA06F2" w:rsidRDefault="00B211A1" w:rsidP="0018469E">
      <w:pPr>
        <w:widowControl w:val="0"/>
        <w:overflowPunct w:val="0"/>
        <w:adjustRightInd w:val="0"/>
        <w:spacing w:after="0" w:line="240" w:lineRule="auto"/>
        <w:ind w:left="720"/>
        <w:jc w:val="both"/>
        <w:rPr>
          <w:rFonts w:cs="Arial"/>
          <w:bCs/>
        </w:rPr>
      </w:pPr>
    </w:p>
    <w:p w:rsidR="007D1E7D" w:rsidRPr="00BA06F2" w:rsidRDefault="007D1E7D" w:rsidP="0018469E">
      <w:pPr>
        <w:widowControl w:val="0"/>
        <w:numPr>
          <w:ilvl w:val="0"/>
          <w:numId w:val="31"/>
        </w:numPr>
        <w:overflowPunct w:val="0"/>
        <w:adjustRightInd w:val="0"/>
        <w:spacing w:after="0" w:line="240" w:lineRule="auto"/>
        <w:jc w:val="both"/>
        <w:rPr>
          <w:rFonts w:cs="Arial"/>
          <w:bCs/>
        </w:rPr>
      </w:pPr>
      <w:r w:rsidRPr="00BA06F2">
        <w:rPr>
          <w:rFonts w:cs="Arial"/>
          <w:bCs/>
        </w:rPr>
        <w:t xml:space="preserve">Institutional behaviors </w:t>
      </w:r>
      <w:r w:rsidR="00B211A1" w:rsidRPr="00BA06F2">
        <w:rPr>
          <w:rFonts w:cs="Arial"/>
          <w:bCs/>
        </w:rPr>
        <w:t>have a</w:t>
      </w:r>
      <w:r w:rsidRPr="00BA06F2">
        <w:rPr>
          <w:rFonts w:cs="Arial"/>
          <w:bCs/>
        </w:rPr>
        <w:t xml:space="preserve"> separate set of codes that defines adolescent behaviors as it relates to sexual activities that are not related or connected to the PREA codes. Institutional behavior that may lead to a sexually charged environment needs to be managed on a case by case basis by the facility.</w:t>
      </w:r>
    </w:p>
    <w:p w:rsidR="00B211A1" w:rsidRPr="00BA06F2" w:rsidRDefault="00BE5E81" w:rsidP="00BE5E81">
      <w:pPr>
        <w:widowControl w:val="0"/>
        <w:tabs>
          <w:tab w:val="left" w:pos="3240"/>
        </w:tabs>
        <w:overflowPunct w:val="0"/>
        <w:adjustRightInd w:val="0"/>
        <w:spacing w:after="0" w:line="240" w:lineRule="auto"/>
        <w:ind w:left="720"/>
        <w:jc w:val="both"/>
        <w:rPr>
          <w:rFonts w:cs="Arial"/>
          <w:bCs/>
        </w:rPr>
      </w:pPr>
      <w:r w:rsidRPr="00BA06F2">
        <w:rPr>
          <w:rFonts w:cs="Arial"/>
          <w:bCs/>
        </w:rPr>
        <w:tab/>
      </w:r>
    </w:p>
    <w:p w:rsidR="00B211A1" w:rsidRPr="00BA06F2" w:rsidRDefault="007D1E7D" w:rsidP="0018469E">
      <w:pPr>
        <w:numPr>
          <w:ilvl w:val="0"/>
          <w:numId w:val="31"/>
        </w:numPr>
        <w:spacing w:after="0" w:line="240" w:lineRule="auto"/>
        <w:rPr>
          <w:rFonts w:cs="Times New Roman"/>
          <w:color w:val="000000"/>
        </w:rPr>
      </w:pPr>
      <w:r w:rsidRPr="00BA06F2">
        <w:rPr>
          <w:color w:val="000000"/>
        </w:rPr>
        <w:t>Provide PREA Codes Training to all staff</w:t>
      </w:r>
      <w:r w:rsidR="00B211A1" w:rsidRPr="00BA06F2">
        <w:rPr>
          <w:color w:val="000000"/>
        </w:rPr>
        <w:t xml:space="preserve"> t</w:t>
      </w:r>
      <w:r w:rsidR="00BE5E81" w:rsidRPr="00BA06F2">
        <w:rPr>
          <w:color w:val="000000"/>
        </w:rPr>
        <w:t>o</w:t>
      </w:r>
      <w:r w:rsidRPr="00BA06F2">
        <w:rPr>
          <w:color w:val="000000"/>
        </w:rPr>
        <w:t xml:space="preserve"> clarif</w:t>
      </w:r>
      <w:r w:rsidR="00BE5E81" w:rsidRPr="00BA06F2">
        <w:rPr>
          <w:color w:val="000000"/>
        </w:rPr>
        <w:t xml:space="preserve">y </w:t>
      </w:r>
      <w:r w:rsidRPr="00BA06F2">
        <w:rPr>
          <w:color w:val="000000"/>
        </w:rPr>
        <w:t>the following:</w:t>
      </w:r>
    </w:p>
    <w:p w:rsidR="007D1E7D" w:rsidRPr="00BA06F2" w:rsidRDefault="007D1E7D" w:rsidP="0018469E">
      <w:pPr>
        <w:spacing w:after="0" w:line="240" w:lineRule="auto"/>
        <w:ind w:left="720"/>
        <w:rPr>
          <w:rFonts w:cs="Times New Roman"/>
          <w:color w:val="000000"/>
        </w:rPr>
      </w:pPr>
    </w:p>
    <w:p w:rsidR="007D1E7D" w:rsidRPr="00BA06F2" w:rsidRDefault="007D1E7D" w:rsidP="00BE5E81">
      <w:pPr>
        <w:numPr>
          <w:ilvl w:val="0"/>
          <w:numId w:val="32"/>
        </w:numPr>
        <w:spacing w:after="0" w:line="240" w:lineRule="auto"/>
        <w:jc w:val="both"/>
        <w:rPr>
          <w:rFonts w:cs="Tahoma"/>
          <w:color w:val="000000"/>
        </w:rPr>
      </w:pPr>
      <w:r w:rsidRPr="00BA06F2">
        <w:rPr>
          <w:color w:val="000000"/>
        </w:rPr>
        <w:t>DJJ SIR Codes that meet the DOJ definition of sexual abuse and sexual harassment</w:t>
      </w:r>
      <w:r w:rsidR="00311C33" w:rsidRPr="00BA06F2">
        <w:rPr>
          <w:color w:val="000000"/>
        </w:rPr>
        <w:t>.</w:t>
      </w:r>
    </w:p>
    <w:p w:rsidR="007D1E7D" w:rsidRPr="00BA06F2" w:rsidRDefault="007D1E7D" w:rsidP="0018469E">
      <w:pPr>
        <w:spacing w:after="0" w:line="240" w:lineRule="auto"/>
        <w:ind w:left="1470"/>
        <w:rPr>
          <w:rFonts w:cs="Tahoma"/>
          <w:color w:val="000000"/>
        </w:rPr>
      </w:pPr>
    </w:p>
    <w:p w:rsidR="007D1E7D" w:rsidRPr="00BA06F2" w:rsidRDefault="007D1E7D" w:rsidP="00BE5E81">
      <w:pPr>
        <w:numPr>
          <w:ilvl w:val="0"/>
          <w:numId w:val="32"/>
        </w:numPr>
        <w:spacing w:after="0" w:line="240" w:lineRule="auto"/>
        <w:jc w:val="both"/>
        <w:rPr>
          <w:rFonts w:cs="Tahoma"/>
          <w:color w:val="000000"/>
        </w:rPr>
      </w:pPr>
      <w:r w:rsidRPr="00BA06F2">
        <w:rPr>
          <w:color w:val="000000"/>
        </w:rPr>
        <w:t xml:space="preserve">DJJ SIR Codes that meet </w:t>
      </w:r>
      <w:r w:rsidR="00311C33" w:rsidRPr="00BA06F2">
        <w:rPr>
          <w:color w:val="000000"/>
        </w:rPr>
        <w:t>the agency</w:t>
      </w:r>
      <w:r w:rsidRPr="00BA06F2">
        <w:rPr>
          <w:color w:val="000000"/>
        </w:rPr>
        <w:t xml:space="preserve"> definition of adolescent institutional behaviors to include “red flags” but do not meet the DOJ definition regard</w:t>
      </w:r>
      <w:r w:rsidR="00BE5E81" w:rsidRPr="00BA06F2">
        <w:rPr>
          <w:color w:val="000000"/>
        </w:rPr>
        <w:t xml:space="preserve">ing </w:t>
      </w:r>
      <w:r w:rsidRPr="00BA06F2">
        <w:rPr>
          <w:color w:val="000000"/>
        </w:rPr>
        <w:t xml:space="preserve">sexual behaviors. </w:t>
      </w:r>
    </w:p>
    <w:p w:rsidR="00B211A1" w:rsidRPr="00BA06F2" w:rsidRDefault="00B211A1" w:rsidP="0018469E">
      <w:pPr>
        <w:pStyle w:val="ListParagraph"/>
        <w:spacing w:after="0"/>
        <w:rPr>
          <w:rFonts w:cs="Tahoma"/>
          <w:color w:val="000000"/>
          <w:sz w:val="16"/>
          <w:szCs w:val="16"/>
        </w:rPr>
      </w:pPr>
    </w:p>
    <w:p w:rsidR="007D1E7D" w:rsidRPr="00BA06F2" w:rsidRDefault="007D1E7D" w:rsidP="0018469E">
      <w:pPr>
        <w:numPr>
          <w:ilvl w:val="0"/>
          <w:numId w:val="31"/>
        </w:numPr>
        <w:spacing w:after="0" w:line="240" w:lineRule="auto"/>
        <w:rPr>
          <w:rFonts w:cs="Times New Roman"/>
          <w:color w:val="000000"/>
        </w:rPr>
      </w:pPr>
      <w:r w:rsidRPr="00BA06F2">
        <w:rPr>
          <w:color w:val="000000"/>
        </w:rPr>
        <w:t xml:space="preserve">Provide specialized investigative training to the Facility Based Investigators. </w:t>
      </w:r>
    </w:p>
    <w:p w:rsidR="00B211A1" w:rsidRPr="00BA06F2" w:rsidRDefault="00B211A1" w:rsidP="0018469E">
      <w:pPr>
        <w:pStyle w:val="ListParagraph"/>
        <w:widowControl w:val="0"/>
        <w:overflowPunct w:val="0"/>
        <w:adjustRightInd w:val="0"/>
        <w:spacing w:after="0" w:line="240" w:lineRule="auto"/>
        <w:jc w:val="both"/>
      </w:pPr>
    </w:p>
    <w:p w:rsidR="00D7332B" w:rsidRPr="00BA06F2" w:rsidRDefault="00D7332B" w:rsidP="0018469E">
      <w:pPr>
        <w:pStyle w:val="ListParagraph"/>
        <w:widowControl w:val="0"/>
        <w:numPr>
          <w:ilvl w:val="0"/>
          <w:numId w:val="31"/>
        </w:numPr>
        <w:overflowPunct w:val="0"/>
        <w:adjustRightInd w:val="0"/>
        <w:spacing w:after="0" w:line="240" w:lineRule="auto"/>
        <w:jc w:val="both"/>
      </w:pPr>
      <w:r w:rsidRPr="00BA06F2">
        <w:t xml:space="preserve">Continue to promote the </w:t>
      </w:r>
      <w:r w:rsidR="00BE5E81" w:rsidRPr="00BA06F2">
        <w:t xml:space="preserve">DJJ </w:t>
      </w:r>
      <w:r w:rsidRPr="00BA06F2">
        <w:t>tip line to the general public as well as DJJ Staff, Parents and youth in community based programs.</w:t>
      </w:r>
    </w:p>
    <w:p w:rsidR="007D1E7D" w:rsidRPr="00BA06F2" w:rsidRDefault="007D1E7D" w:rsidP="0018469E">
      <w:pPr>
        <w:spacing w:after="0" w:line="240" w:lineRule="auto"/>
        <w:rPr>
          <w:rFonts w:cstheme="minorHAnsi"/>
        </w:rPr>
      </w:pPr>
    </w:p>
    <w:p w:rsidR="000E18FC" w:rsidRPr="00BA06F2" w:rsidRDefault="000E18FC" w:rsidP="0018469E">
      <w:pPr>
        <w:spacing w:after="0" w:line="240" w:lineRule="auto"/>
        <w:jc w:val="both"/>
        <w:rPr>
          <w:rFonts w:cs="Arial"/>
          <w:bCs/>
        </w:rPr>
      </w:pPr>
      <w:r w:rsidRPr="00BA06F2">
        <w:rPr>
          <w:rFonts w:cs="Arial"/>
          <w:b/>
          <w:bCs/>
        </w:rPr>
        <w:t>Concern #2:</w:t>
      </w:r>
      <w:r w:rsidRPr="00BA06F2">
        <w:rPr>
          <w:rFonts w:cs="Arial"/>
          <w:bCs/>
        </w:rPr>
        <w:t xml:space="preserve"> The agency has determined that all facilities were not free from blind spots. </w:t>
      </w:r>
    </w:p>
    <w:p w:rsidR="00311C33" w:rsidRPr="00BA06F2" w:rsidRDefault="00311C33" w:rsidP="0018469E">
      <w:pPr>
        <w:spacing w:after="0" w:line="240" w:lineRule="auto"/>
        <w:rPr>
          <w:rFonts w:cstheme="minorHAnsi"/>
        </w:rPr>
      </w:pPr>
    </w:p>
    <w:p w:rsidR="000E18FC" w:rsidRPr="00BA06F2" w:rsidRDefault="000E18FC" w:rsidP="0018469E">
      <w:pPr>
        <w:spacing w:after="0" w:line="240" w:lineRule="auto"/>
        <w:jc w:val="both"/>
        <w:rPr>
          <w:rFonts w:cs="Arial"/>
          <w:b/>
          <w:bCs/>
          <w:i/>
          <w:u w:val="single"/>
        </w:rPr>
      </w:pPr>
      <w:r w:rsidRPr="00BA06F2">
        <w:rPr>
          <w:rFonts w:cs="Arial"/>
          <w:b/>
          <w:bCs/>
          <w:i/>
          <w:u w:val="single"/>
        </w:rPr>
        <w:t>Corrective Actions:</w:t>
      </w:r>
    </w:p>
    <w:p w:rsidR="000E18FC" w:rsidRPr="00BA06F2" w:rsidRDefault="000E18FC" w:rsidP="0018469E">
      <w:pPr>
        <w:spacing w:after="0" w:line="240" w:lineRule="auto"/>
        <w:rPr>
          <w:rFonts w:cstheme="minorHAnsi"/>
        </w:rPr>
      </w:pPr>
    </w:p>
    <w:p w:rsidR="000E18FC" w:rsidRPr="00BA06F2" w:rsidRDefault="000E18FC" w:rsidP="00BE5E81">
      <w:pPr>
        <w:pStyle w:val="ListParagraph"/>
        <w:numPr>
          <w:ilvl w:val="0"/>
          <w:numId w:val="34"/>
        </w:numPr>
        <w:spacing w:after="0" w:line="240" w:lineRule="auto"/>
        <w:jc w:val="both"/>
        <w:rPr>
          <w:rFonts w:cstheme="minorHAnsi"/>
        </w:rPr>
      </w:pPr>
      <w:r w:rsidRPr="00BA06F2">
        <w:rPr>
          <w:rFonts w:cstheme="minorHAnsi"/>
        </w:rPr>
        <w:t xml:space="preserve">In secure facilities areas, windows and doors will be free of posters, blinds, paper, etc. </w:t>
      </w:r>
      <w:r w:rsidR="00BE5E81" w:rsidRPr="00BA06F2">
        <w:rPr>
          <w:rFonts w:cstheme="minorHAnsi"/>
        </w:rPr>
        <w:t>which</w:t>
      </w:r>
      <w:r w:rsidRPr="00BA06F2">
        <w:rPr>
          <w:rFonts w:cstheme="minorHAnsi"/>
        </w:rPr>
        <w:t xml:space="preserve"> obstruct the direct line of sight into offices</w:t>
      </w:r>
      <w:r w:rsidR="00BE5E81" w:rsidRPr="00BA06F2">
        <w:rPr>
          <w:rFonts w:cstheme="minorHAnsi"/>
        </w:rPr>
        <w:t xml:space="preserve">, rooms and </w:t>
      </w:r>
      <w:r w:rsidRPr="00BA06F2">
        <w:rPr>
          <w:rFonts w:cstheme="minorHAnsi"/>
        </w:rPr>
        <w:t xml:space="preserve">locations. </w:t>
      </w:r>
      <w:r w:rsidR="00BE5E81" w:rsidRPr="00BA06F2">
        <w:rPr>
          <w:rFonts w:cstheme="minorHAnsi"/>
        </w:rPr>
        <w:t xml:space="preserve"> </w:t>
      </w:r>
      <w:r w:rsidRPr="00BA06F2">
        <w:rPr>
          <w:rFonts w:cstheme="minorHAnsi"/>
        </w:rPr>
        <w:t xml:space="preserve">Locations that are primarily used for administrative (non-youth) purposes may have blinds; however, blinds must be </w:t>
      </w:r>
      <w:r w:rsidR="00BE5E81" w:rsidRPr="00BA06F2">
        <w:rPr>
          <w:rFonts w:cstheme="minorHAnsi"/>
        </w:rPr>
        <w:t>raised</w:t>
      </w:r>
      <w:r w:rsidRPr="00BA06F2">
        <w:rPr>
          <w:rFonts w:cstheme="minorHAnsi"/>
        </w:rPr>
        <w:t xml:space="preserve"> anytime youth are in th</w:t>
      </w:r>
      <w:r w:rsidR="00BE5E81" w:rsidRPr="00BA06F2">
        <w:rPr>
          <w:rFonts w:cstheme="minorHAnsi"/>
        </w:rPr>
        <w:t>at</w:t>
      </w:r>
      <w:r w:rsidRPr="00BA06F2">
        <w:rPr>
          <w:rFonts w:cstheme="minorHAnsi"/>
        </w:rPr>
        <w:t xml:space="preserve"> location.</w:t>
      </w:r>
    </w:p>
    <w:p w:rsidR="000E18FC" w:rsidRPr="00BA06F2" w:rsidRDefault="000E18FC" w:rsidP="0018469E">
      <w:pPr>
        <w:spacing w:after="0" w:line="240" w:lineRule="auto"/>
        <w:rPr>
          <w:rFonts w:cstheme="minorHAnsi"/>
        </w:rPr>
      </w:pPr>
    </w:p>
    <w:p w:rsidR="000E18FC" w:rsidRPr="00BA06F2" w:rsidRDefault="000E18FC" w:rsidP="00BE5E81">
      <w:pPr>
        <w:pStyle w:val="ListParagraph"/>
        <w:numPr>
          <w:ilvl w:val="0"/>
          <w:numId w:val="34"/>
        </w:numPr>
        <w:spacing w:after="0" w:line="240" w:lineRule="auto"/>
        <w:jc w:val="both"/>
        <w:rPr>
          <w:rFonts w:cstheme="minorHAnsi"/>
        </w:rPr>
      </w:pPr>
      <w:r w:rsidRPr="00BA06F2">
        <w:rPr>
          <w:rFonts w:cstheme="minorHAnsi"/>
        </w:rPr>
        <w:t>The agency has re</w:t>
      </w:r>
      <w:r w:rsidR="00F018DD" w:rsidRPr="00BA06F2">
        <w:rPr>
          <w:rFonts w:cstheme="minorHAnsi"/>
        </w:rPr>
        <w:t>-</w:t>
      </w:r>
      <w:r w:rsidRPr="00BA06F2">
        <w:rPr>
          <w:rFonts w:cstheme="minorHAnsi"/>
        </w:rPr>
        <w:t xml:space="preserve">designed a total of </w:t>
      </w:r>
      <w:r w:rsidR="00F018DD" w:rsidRPr="00BA06F2">
        <w:rPr>
          <w:rFonts w:cstheme="minorHAnsi"/>
        </w:rPr>
        <w:t>2</w:t>
      </w:r>
      <w:r w:rsidRPr="00BA06F2">
        <w:rPr>
          <w:rFonts w:cstheme="minorHAnsi"/>
        </w:rPr>
        <w:t>55</w:t>
      </w:r>
      <w:r w:rsidR="0018469E" w:rsidRPr="00BA06F2">
        <w:rPr>
          <w:rFonts w:cstheme="minorHAnsi"/>
        </w:rPr>
        <w:t xml:space="preserve"> office and shower </w:t>
      </w:r>
      <w:r w:rsidRPr="00BA06F2">
        <w:rPr>
          <w:rFonts w:cstheme="minorHAnsi"/>
        </w:rPr>
        <w:t>doors to comply with clear and unobstructed views.</w:t>
      </w:r>
    </w:p>
    <w:p w:rsidR="00311C33" w:rsidRPr="00BA06F2" w:rsidRDefault="00311C33" w:rsidP="0018469E">
      <w:pPr>
        <w:spacing w:after="0" w:line="240" w:lineRule="auto"/>
        <w:rPr>
          <w:rFonts w:cstheme="minorHAnsi"/>
        </w:rPr>
      </w:pPr>
    </w:p>
    <w:p w:rsidR="00CB50A0" w:rsidRPr="00BA06F2" w:rsidRDefault="00CB50A0" w:rsidP="00DE0D22">
      <w:pPr>
        <w:spacing w:after="0" w:line="240" w:lineRule="auto"/>
        <w:jc w:val="both"/>
        <w:rPr>
          <w:rFonts w:cstheme="minorHAnsi"/>
        </w:rPr>
      </w:pPr>
      <w:r w:rsidRPr="00BA06F2">
        <w:rPr>
          <w:rFonts w:cstheme="minorHAnsi"/>
          <w:b/>
        </w:rPr>
        <w:t>Concern #3:</w:t>
      </w:r>
      <w:r w:rsidRPr="00BA06F2">
        <w:rPr>
          <w:rFonts w:cstheme="minorHAnsi"/>
        </w:rPr>
        <w:t xml:space="preserve"> </w:t>
      </w:r>
      <w:r w:rsidR="00B06335" w:rsidRPr="00BA06F2">
        <w:rPr>
          <w:rFonts w:cstheme="minorHAnsi"/>
        </w:rPr>
        <w:t xml:space="preserve">The agency has determined that </w:t>
      </w:r>
      <w:r w:rsidR="00DE0D22" w:rsidRPr="00BA06F2">
        <w:rPr>
          <w:rFonts w:cstheme="minorHAnsi"/>
        </w:rPr>
        <w:t xml:space="preserve">the </w:t>
      </w:r>
      <w:r w:rsidR="00B06335" w:rsidRPr="00BA06F2">
        <w:rPr>
          <w:rFonts w:cstheme="minorHAnsi"/>
        </w:rPr>
        <w:t xml:space="preserve">Staff </w:t>
      </w:r>
      <w:r w:rsidR="00DE0D22" w:rsidRPr="00BA06F2">
        <w:rPr>
          <w:rFonts w:cstheme="minorHAnsi"/>
        </w:rPr>
        <w:t>-</w:t>
      </w:r>
      <w:r w:rsidR="00B06335" w:rsidRPr="00BA06F2">
        <w:rPr>
          <w:rFonts w:cstheme="minorHAnsi"/>
        </w:rPr>
        <w:t>to</w:t>
      </w:r>
      <w:r w:rsidR="00DE0D22" w:rsidRPr="00BA06F2">
        <w:rPr>
          <w:rFonts w:cstheme="minorHAnsi"/>
        </w:rPr>
        <w:t>-</w:t>
      </w:r>
      <w:r w:rsidR="00B06335" w:rsidRPr="00BA06F2">
        <w:rPr>
          <w:rFonts w:cstheme="minorHAnsi"/>
        </w:rPr>
        <w:t xml:space="preserve">youth ratios </w:t>
      </w:r>
      <w:r w:rsidR="00A90B6B" w:rsidRPr="00BA06F2">
        <w:rPr>
          <w:rFonts w:cstheme="minorHAnsi"/>
        </w:rPr>
        <w:t>does</w:t>
      </w:r>
      <w:r w:rsidR="00B06335" w:rsidRPr="00BA06F2">
        <w:rPr>
          <w:rFonts w:cstheme="minorHAnsi"/>
        </w:rPr>
        <w:t xml:space="preserve"> not meet DOJ requirements.</w:t>
      </w:r>
    </w:p>
    <w:p w:rsidR="00B06335" w:rsidRPr="00BA06F2" w:rsidRDefault="00B06335" w:rsidP="0018469E">
      <w:pPr>
        <w:spacing w:after="0" w:line="240" w:lineRule="auto"/>
        <w:rPr>
          <w:rFonts w:cstheme="minorHAnsi"/>
        </w:rPr>
      </w:pPr>
    </w:p>
    <w:p w:rsidR="00B06335" w:rsidRPr="00BA06F2" w:rsidRDefault="00B06335" w:rsidP="0018469E">
      <w:pPr>
        <w:spacing w:after="0" w:line="240" w:lineRule="auto"/>
        <w:rPr>
          <w:rFonts w:cstheme="minorHAnsi"/>
          <w:b/>
          <w:i/>
          <w:u w:val="single"/>
        </w:rPr>
      </w:pPr>
      <w:r w:rsidRPr="00BA06F2">
        <w:rPr>
          <w:rFonts w:cstheme="minorHAnsi"/>
          <w:b/>
          <w:i/>
          <w:u w:val="single"/>
        </w:rPr>
        <w:t>Corrective Actions:</w:t>
      </w:r>
    </w:p>
    <w:p w:rsidR="00B06335" w:rsidRPr="00BA06F2" w:rsidRDefault="00B06335" w:rsidP="0018469E">
      <w:pPr>
        <w:spacing w:after="0" w:line="240" w:lineRule="auto"/>
        <w:rPr>
          <w:rFonts w:cstheme="minorHAnsi"/>
        </w:rPr>
      </w:pPr>
    </w:p>
    <w:p w:rsidR="00B06335" w:rsidRPr="00BA06F2" w:rsidRDefault="00B06335" w:rsidP="00DE0D22">
      <w:pPr>
        <w:pStyle w:val="ListParagraph"/>
        <w:numPr>
          <w:ilvl w:val="0"/>
          <w:numId w:val="35"/>
        </w:numPr>
        <w:spacing w:after="0" w:line="240" w:lineRule="auto"/>
        <w:jc w:val="both"/>
        <w:rPr>
          <w:rFonts w:cstheme="minorHAnsi"/>
        </w:rPr>
      </w:pPr>
      <w:r w:rsidRPr="00BA06F2">
        <w:rPr>
          <w:rFonts w:cstheme="minorHAnsi"/>
        </w:rPr>
        <w:t>To ensure that the agency meet</w:t>
      </w:r>
      <w:r w:rsidR="00DE0D22" w:rsidRPr="00BA06F2">
        <w:rPr>
          <w:rFonts w:cstheme="minorHAnsi"/>
        </w:rPr>
        <w:t>s</w:t>
      </w:r>
      <w:r w:rsidRPr="00BA06F2">
        <w:rPr>
          <w:rFonts w:cstheme="minorHAnsi"/>
        </w:rPr>
        <w:t xml:space="preserve"> the required ratios 1:8 during wak</w:t>
      </w:r>
      <w:r w:rsidR="00DE0D22" w:rsidRPr="00BA06F2">
        <w:rPr>
          <w:rFonts w:cstheme="minorHAnsi"/>
        </w:rPr>
        <w:t>ing</w:t>
      </w:r>
      <w:r w:rsidRPr="00BA06F2">
        <w:rPr>
          <w:rFonts w:cstheme="minorHAnsi"/>
        </w:rPr>
        <w:t xml:space="preserve"> hours and 1:16 during sleep hours, this requirement has been added to the Georgia Department of Juvenile Justice FY2014 through FY2017 Strategic Plan.</w:t>
      </w:r>
    </w:p>
    <w:p w:rsidR="00B06335" w:rsidRPr="00BA06F2" w:rsidRDefault="00DE0D22" w:rsidP="00DE0D22">
      <w:pPr>
        <w:tabs>
          <w:tab w:val="left" w:pos="3615"/>
        </w:tabs>
        <w:spacing w:after="0" w:line="240" w:lineRule="auto"/>
        <w:rPr>
          <w:rFonts w:cstheme="minorHAnsi"/>
        </w:rPr>
      </w:pPr>
      <w:r w:rsidRPr="00BA06F2">
        <w:rPr>
          <w:rFonts w:cstheme="minorHAnsi"/>
        </w:rPr>
        <w:tab/>
      </w:r>
    </w:p>
    <w:p w:rsidR="00585C1F" w:rsidRPr="00BA06F2" w:rsidRDefault="00B06335" w:rsidP="0018469E">
      <w:pPr>
        <w:spacing w:after="0" w:line="240" w:lineRule="auto"/>
        <w:jc w:val="both"/>
        <w:rPr>
          <w:rFonts w:cstheme="minorHAnsi"/>
        </w:rPr>
      </w:pPr>
      <w:r w:rsidRPr="00BA06F2">
        <w:rPr>
          <w:rFonts w:cstheme="minorHAnsi"/>
          <w:b/>
        </w:rPr>
        <w:t>Concern #4:</w:t>
      </w:r>
      <w:r w:rsidRPr="00BA06F2">
        <w:rPr>
          <w:rFonts w:cstheme="minorHAnsi"/>
        </w:rPr>
        <w:t xml:space="preserve"> </w:t>
      </w:r>
      <w:r w:rsidR="00585C1F" w:rsidRPr="00BA06F2">
        <w:rPr>
          <w:rFonts w:cstheme="minorHAnsi"/>
        </w:rPr>
        <w:t xml:space="preserve">The agency shall also provide at least one way for residents to report abuse or harassment to a public or private entity or office that is not part of the agency and that is able to receive and immediately </w:t>
      </w:r>
      <w:r w:rsidR="00585C1F" w:rsidRPr="00BA06F2">
        <w:rPr>
          <w:rFonts w:cstheme="minorHAnsi"/>
        </w:rPr>
        <w:lastRenderedPageBreak/>
        <w:t>forward resident reports of sexual abuse and sexual harassment to agency officials, allowing the resident to remain anonymous upon request. Residents detained solely for civil immigration purposes shall be provided information on how to contact relevant consular officials and relevant officials at the Department of Homeland Security.</w:t>
      </w:r>
    </w:p>
    <w:p w:rsidR="0018469E" w:rsidRPr="00BA06F2" w:rsidRDefault="0018469E" w:rsidP="0018469E">
      <w:pPr>
        <w:spacing w:after="0" w:line="240" w:lineRule="auto"/>
        <w:jc w:val="both"/>
        <w:rPr>
          <w:rFonts w:cstheme="minorHAnsi"/>
          <w:i/>
          <w:sz w:val="16"/>
          <w:szCs w:val="16"/>
        </w:rPr>
      </w:pPr>
    </w:p>
    <w:p w:rsidR="00585C1F" w:rsidRPr="00BA06F2" w:rsidRDefault="00585C1F" w:rsidP="0018469E">
      <w:pPr>
        <w:spacing w:after="0" w:line="240" w:lineRule="auto"/>
        <w:jc w:val="both"/>
        <w:rPr>
          <w:rFonts w:cstheme="minorHAnsi"/>
          <w:b/>
          <w:i/>
          <w:u w:val="single"/>
        </w:rPr>
      </w:pPr>
      <w:r w:rsidRPr="00BA06F2">
        <w:rPr>
          <w:rFonts w:cstheme="minorHAnsi"/>
          <w:b/>
          <w:i/>
          <w:u w:val="single"/>
        </w:rPr>
        <w:t>Corrective Actions:</w:t>
      </w:r>
    </w:p>
    <w:p w:rsidR="0018469E" w:rsidRPr="00BA06F2" w:rsidRDefault="0018469E" w:rsidP="0018469E">
      <w:pPr>
        <w:pStyle w:val="ListParagraph"/>
        <w:spacing w:after="0" w:line="240" w:lineRule="auto"/>
        <w:rPr>
          <w:rFonts w:cstheme="minorHAnsi"/>
        </w:rPr>
      </w:pPr>
    </w:p>
    <w:p w:rsidR="00585C1F" w:rsidRPr="00BA06F2" w:rsidRDefault="00585C1F" w:rsidP="0018469E">
      <w:pPr>
        <w:pStyle w:val="ListParagraph"/>
        <w:numPr>
          <w:ilvl w:val="0"/>
          <w:numId w:val="37"/>
        </w:numPr>
        <w:spacing w:after="0" w:line="240" w:lineRule="auto"/>
        <w:rPr>
          <w:rFonts w:cstheme="minorHAnsi"/>
        </w:rPr>
      </w:pPr>
      <w:r w:rsidRPr="00BA06F2">
        <w:t xml:space="preserve">The agency has completed and </w:t>
      </w:r>
      <w:r w:rsidR="00B11CAC" w:rsidRPr="00BA06F2">
        <w:t xml:space="preserve">has scheduled the </w:t>
      </w:r>
      <w:r w:rsidRPr="00BA06F2">
        <w:t xml:space="preserve">release </w:t>
      </w:r>
      <w:r w:rsidR="00B11CAC" w:rsidRPr="00BA06F2">
        <w:t xml:space="preserve">of </w:t>
      </w:r>
      <w:r w:rsidRPr="00BA06F2">
        <w:t>the Request for Proposal (RFP) for an agency-wide youth phone system during the week of February 24, 2014. All proposals are due the week of April 7, 2014.</w:t>
      </w:r>
    </w:p>
    <w:p w:rsidR="00585C1F" w:rsidRPr="00BA06F2" w:rsidRDefault="00585C1F" w:rsidP="00477925">
      <w:pPr>
        <w:spacing w:after="0" w:line="240" w:lineRule="auto"/>
      </w:pPr>
    </w:p>
    <w:p w:rsidR="00477925" w:rsidRPr="00BA06F2" w:rsidRDefault="00477925" w:rsidP="00477925">
      <w:pPr>
        <w:spacing w:after="0" w:line="240" w:lineRule="auto"/>
        <w:jc w:val="both"/>
        <w:rPr>
          <w:rFonts w:cstheme="minorHAnsi"/>
        </w:rPr>
      </w:pPr>
      <w:r w:rsidRPr="00BA06F2">
        <w:rPr>
          <w:rFonts w:cstheme="minorHAnsi"/>
          <w:b/>
        </w:rPr>
        <w:t>Concern #5:</w:t>
      </w:r>
      <w:r w:rsidRPr="00BA06F2">
        <w:rPr>
          <w:rFonts w:cstheme="minorHAnsi"/>
        </w:rPr>
        <w:t xml:space="preserve"> The agency determined that staff is not train</w:t>
      </w:r>
      <w:r w:rsidR="00B11CAC" w:rsidRPr="00BA06F2">
        <w:rPr>
          <w:rFonts w:cstheme="minorHAnsi"/>
        </w:rPr>
        <w:t>ed</w:t>
      </w:r>
      <w:r w:rsidRPr="00BA06F2">
        <w:rPr>
          <w:rFonts w:cstheme="minorHAnsi"/>
        </w:rPr>
        <w:t xml:space="preserve"> </w:t>
      </w:r>
      <w:r w:rsidR="00B11CAC" w:rsidRPr="00BA06F2">
        <w:rPr>
          <w:rFonts w:cstheme="minorHAnsi"/>
        </w:rPr>
        <w:t xml:space="preserve">for </w:t>
      </w:r>
      <w:r w:rsidRPr="00BA06F2">
        <w:rPr>
          <w:rFonts w:cstheme="minorHAnsi"/>
        </w:rPr>
        <w:t>conduct</w:t>
      </w:r>
      <w:r w:rsidR="00B11CAC" w:rsidRPr="00BA06F2">
        <w:rPr>
          <w:rFonts w:cstheme="minorHAnsi"/>
        </w:rPr>
        <w:t>ing</w:t>
      </w:r>
      <w:r w:rsidRPr="00BA06F2">
        <w:rPr>
          <w:rFonts w:cstheme="minorHAnsi"/>
        </w:rPr>
        <w:t xml:space="preserve"> cross-gender pat-down searches</w:t>
      </w:r>
      <w:r w:rsidR="00B11CAC" w:rsidRPr="00BA06F2">
        <w:rPr>
          <w:rFonts w:cstheme="minorHAnsi"/>
        </w:rPr>
        <w:t xml:space="preserve"> or</w:t>
      </w:r>
      <w:r w:rsidRPr="00BA06F2">
        <w:rPr>
          <w:rFonts w:cstheme="minorHAnsi"/>
        </w:rPr>
        <w:t xml:space="preserve"> searches of transgender and intersex residents in a professional and respectful manner, and in the least intrusive manner possible, consistent with security needs. </w:t>
      </w:r>
      <w:r w:rsidR="00B11CAC" w:rsidRPr="00BA06F2">
        <w:rPr>
          <w:rFonts w:cstheme="minorHAnsi"/>
        </w:rPr>
        <w:t xml:space="preserve"> </w:t>
      </w:r>
      <w:r w:rsidRPr="00BA06F2">
        <w:rPr>
          <w:rFonts w:cstheme="minorHAnsi"/>
        </w:rPr>
        <w:t>It should be noted that agency polic</w:t>
      </w:r>
      <w:r w:rsidR="00B90053" w:rsidRPr="00BA06F2">
        <w:rPr>
          <w:rFonts w:cstheme="minorHAnsi"/>
        </w:rPr>
        <w:t>ies</w:t>
      </w:r>
      <w:r w:rsidRPr="00BA06F2">
        <w:rPr>
          <w:rFonts w:cstheme="minorHAnsi"/>
        </w:rPr>
        <w:t xml:space="preserve"> prohibit cross-gender pat-down searches. </w:t>
      </w:r>
      <w:r w:rsidR="00B11CAC" w:rsidRPr="00BA06F2">
        <w:rPr>
          <w:rFonts w:cstheme="minorHAnsi"/>
        </w:rPr>
        <w:t xml:space="preserve"> T</w:t>
      </w:r>
      <w:r w:rsidRPr="00BA06F2">
        <w:rPr>
          <w:rFonts w:cstheme="minorHAnsi"/>
        </w:rPr>
        <w:t xml:space="preserve">o be </w:t>
      </w:r>
      <w:r w:rsidR="00B11CAC" w:rsidRPr="00BA06F2">
        <w:rPr>
          <w:rFonts w:cstheme="minorHAnsi"/>
        </w:rPr>
        <w:t xml:space="preserve">in </w:t>
      </w:r>
      <w:r w:rsidRPr="00BA06F2">
        <w:rPr>
          <w:rFonts w:cstheme="minorHAnsi"/>
        </w:rPr>
        <w:t>compliance with PREA standards</w:t>
      </w:r>
      <w:r w:rsidR="00B11CAC" w:rsidRPr="00BA06F2">
        <w:rPr>
          <w:rFonts w:cstheme="minorHAnsi"/>
        </w:rPr>
        <w:t>,</w:t>
      </w:r>
      <w:r w:rsidRPr="00BA06F2">
        <w:rPr>
          <w:rFonts w:cstheme="minorHAnsi"/>
        </w:rPr>
        <w:t xml:space="preserve"> sta</w:t>
      </w:r>
      <w:r w:rsidR="00B11CAC" w:rsidRPr="00BA06F2">
        <w:rPr>
          <w:rFonts w:cstheme="minorHAnsi"/>
        </w:rPr>
        <w:t>ff must receive training in</w:t>
      </w:r>
      <w:r w:rsidRPr="00BA06F2">
        <w:rPr>
          <w:rFonts w:cstheme="minorHAnsi"/>
        </w:rPr>
        <w:t xml:space="preserve"> this area.</w:t>
      </w:r>
    </w:p>
    <w:p w:rsidR="00477925" w:rsidRPr="00BA06F2" w:rsidRDefault="00B11CAC" w:rsidP="00B11CAC">
      <w:pPr>
        <w:tabs>
          <w:tab w:val="left" w:pos="1965"/>
        </w:tabs>
        <w:spacing w:after="0" w:line="240" w:lineRule="auto"/>
        <w:jc w:val="both"/>
        <w:rPr>
          <w:rFonts w:cstheme="minorHAnsi"/>
          <w:i/>
          <w:sz w:val="16"/>
          <w:szCs w:val="16"/>
        </w:rPr>
      </w:pPr>
      <w:r w:rsidRPr="00BA06F2">
        <w:rPr>
          <w:rFonts w:cstheme="minorHAnsi"/>
          <w:i/>
          <w:sz w:val="16"/>
          <w:szCs w:val="16"/>
        </w:rPr>
        <w:tab/>
      </w:r>
    </w:p>
    <w:p w:rsidR="00477925" w:rsidRPr="00BA06F2" w:rsidRDefault="00477925" w:rsidP="00477925">
      <w:pPr>
        <w:spacing w:after="0" w:line="240" w:lineRule="auto"/>
        <w:jc w:val="both"/>
        <w:rPr>
          <w:rFonts w:cstheme="minorHAnsi"/>
          <w:b/>
          <w:i/>
          <w:u w:val="single"/>
        </w:rPr>
      </w:pPr>
      <w:r w:rsidRPr="00BA06F2">
        <w:rPr>
          <w:rFonts w:cstheme="minorHAnsi"/>
          <w:b/>
          <w:i/>
          <w:u w:val="single"/>
        </w:rPr>
        <w:t>Corrective Actions:</w:t>
      </w:r>
    </w:p>
    <w:p w:rsidR="00477925" w:rsidRPr="00BA06F2" w:rsidRDefault="00477925" w:rsidP="00477925">
      <w:pPr>
        <w:pStyle w:val="ListParagraph"/>
        <w:spacing w:after="0" w:line="240" w:lineRule="auto"/>
        <w:rPr>
          <w:rFonts w:cstheme="minorHAnsi"/>
        </w:rPr>
      </w:pPr>
    </w:p>
    <w:p w:rsidR="00477925" w:rsidRPr="00BA06F2" w:rsidRDefault="00477925" w:rsidP="00477925">
      <w:pPr>
        <w:pStyle w:val="ListParagraph"/>
        <w:numPr>
          <w:ilvl w:val="0"/>
          <w:numId w:val="39"/>
        </w:numPr>
        <w:spacing w:after="0" w:line="240" w:lineRule="auto"/>
        <w:rPr>
          <w:rFonts w:cstheme="minorHAnsi"/>
        </w:rPr>
      </w:pPr>
      <w:r w:rsidRPr="00BA06F2">
        <w:t xml:space="preserve">The agency will develop and train staff on gender response issues to include a section on pat-down searches </w:t>
      </w:r>
      <w:r w:rsidR="00B11CAC" w:rsidRPr="00BA06F2">
        <w:t>for</w:t>
      </w:r>
      <w:r w:rsidRPr="00BA06F2">
        <w:t xml:space="preserve"> cross-gender residents </w:t>
      </w:r>
      <w:r w:rsidR="00B90053" w:rsidRPr="00BA06F2">
        <w:t xml:space="preserve">to include </w:t>
      </w:r>
      <w:r w:rsidRPr="00BA06F2">
        <w:t>transgender and intersex residents.</w:t>
      </w:r>
    </w:p>
    <w:p w:rsidR="00477925" w:rsidRPr="00BA06F2" w:rsidRDefault="00477925" w:rsidP="00477925">
      <w:pPr>
        <w:spacing w:after="0" w:line="240" w:lineRule="auto"/>
        <w:rPr>
          <w:sz w:val="16"/>
          <w:szCs w:val="16"/>
        </w:rPr>
      </w:pPr>
    </w:p>
    <w:p w:rsidR="00585C1F" w:rsidRPr="00BA06F2" w:rsidRDefault="00795B06" w:rsidP="00795B06">
      <w:pPr>
        <w:spacing w:after="0" w:line="240" w:lineRule="auto"/>
        <w:rPr>
          <w:rFonts w:ascii="Arial Black" w:hAnsi="Arial Black" w:cstheme="minorHAnsi"/>
        </w:rPr>
      </w:pPr>
      <w:r w:rsidRPr="00BA06F2">
        <w:rPr>
          <w:rFonts w:ascii="Arial Black" w:hAnsi="Arial Black" w:cstheme="minorHAnsi"/>
        </w:rPr>
        <w:t xml:space="preserve">Comparison </w:t>
      </w:r>
      <w:r w:rsidR="002421E2" w:rsidRPr="00BA06F2">
        <w:rPr>
          <w:rFonts w:ascii="Arial Black" w:hAnsi="Arial Black" w:cstheme="minorHAnsi"/>
        </w:rPr>
        <w:t>Information</w:t>
      </w:r>
    </w:p>
    <w:p w:rsidR="00795B06" w:rsidRPr="00BA06F2" w:rsidRDefault="00795B06" w:rsidP="00795B06">
      <w:pPr>
        <w:spacing w:after="0" w:line="240" w:lineRule="auto"/>
        <w:rPr>
          <w:rFonts w:cstheme="minorHAnsi"/>
        </w:rPr>
      </w:pPr>
    </w:p>
    <w:p w:rsidR="00795B06" w:rsidRPr="00BA06F2" w:rsidRDefault="00795B06" w:rsidP="00B236BE">
      <w:pPr>
        <w:spacing w:after="0" w:line="240" w:lineRule="auto"/>
        <w:jc w:val="both"/>
        <w:rPr>
          <w:rFonts w:cstheme="minorHAnsi"/>
        </w:rPr>
      </w:pPr>
      <w:r w:rsidRPr="00BA06F2">
        <w:rPr>
          <w:rFonts w:cstheme="minorHAnsi"/>
        </w:rPr>
        <w:t>The 2014 Annual PREA report will include a comparison of the current year’s data and corrective actions with those from prior years and will provide an assessment of the agency’s progress in addressing sexual abuse</w:t>
      </w:r>
      <w:r w:rsidR="0018469E" w:rsidRPr="00BA06F2">
        <w:rPr>
          <w:rFonts w:cstheme="minorHAnsi"/>
        </w:rPr>
        <w:t xml:space="preserve"> areas of concern</w:t>
      </w:r>
      <w:r w:rsidRPr="00BA06F2">
        <w:rPr>
          <w:rFonts w:cstheme="minorHAnsi"/>
        </w:rPr>
        <w:t xml:space="preserve">. </w:t>
      </w:r>
    </w:p>
    <w:p w:rsidR="00795B06" w:rsidRPr="00BA06F2" w:rsidRDefault="00795B06" w:rsidP="00B236BE">
      <w:pPr>
        <w:spacing w:after="0" w:line="240" w:lineRule="auto"/>
        <w:jc w:val="both"/>
        <w:rPr>
          <w:rFonts w:cstheme="minorHAnsi"/>
          <w:sz w:val="16"/>
          <w:szCs w:val="16"/>
        </w:rPr>
      </w:pPr>
    </w:p>
    <w:p w:rsidR="00F52E2A" w:rsidRPr="00BA06F2" w:rsidRDefault="00F52E2A" w:rsidP="00F52E2A">
      <w:pPr>
        <w:spacing w:after="0" w:line="240" w:lineRule="auto"/>
        <w:jc w:val="center"/>
        <w:rPr>
          <w:rFonts w:ascii="Arial Black" w:hAnsi="Arial Black" w:cstheme="minorHAnsi"/>
        </w:rPr>
      </w:pPr>
      <w:r w:rsidRPr="00BA06F2">
        <w:rPr>
          <w:rFonts w:ascii="Arial Black" w:hAnsi="Arial Black" w:cstheme="minorHAnsi"/>
        </w:rPr>
        <w:t>Conclusion</w:t>
      </w:r>
    </w:p>
    <w:p w:rsidR="00F52E2A" w:rsidRPr="00BA06F2" w:rsidRDefault="00F52E2A" w:rsidP="00F52E2A">
      <w:pPr>
        <w:spacing w:after="0" w:line="240" w:lineRule="auto"/>
        <w:jc w:val="both"/>
        <w:rPr>
          <w:rFonts w:cstheme="minorHAnsi"/>
        </w:rPr>
      </w:pPr>
    </w:p>
    <w:p w:rsidR="00F52E2A" w:rsidRPr="00BA06F2" w:rsidRDefault="00F52E2A" w:rsidP="00F52E2A">
      <w:pPr>
        <w:spacing w:after="0" w:line="240" w:lineRule="auto"/>
        <w:jc w:val="both"/>
        <w:rPr>
          <w:rFonts w:cstheme="minorHAnsi"/>
        </w:rPr>
      </w:pPr>
      <w:r w:rsidRPr="00BA06F2">
        <w:rPr>
          <w:rFonts w:cstheme="minorHAnsi"/>
        </w:rPr>
        <w:t xml:space="preserve">The State of Georgia is committed to working with our federal, state and local partners to reduce and eliminate sexual violence in our facilities and community residential programs. </w:t>
      </w:r>
      <w:r w:rsidR="00B236BE" w:rsidRPr="00BA06F2">
        <w:rPr>
          <w:rFonts w:cstheme="minorHAnsi"/>
        </w:rPr>
        <w:t xml:space="preserve"> </w:t>
      </w:r>
      <w:r w:rsidRPr="00BA06F2">
        <w:rPr>
          <w:rFonts w:cstheme="minorHAnsi"/>
        </w:rPr>
        <w:t xml:space="preserve">We will work diligently </w:t>
      </w:r>
      <w:r w:rsidR="00B236BE" w:rsidRPr="00BA06F2">
        <w:rPr>
          <w:rFonts w:cstheme="minorHAnsi"/>
        </w:rPr>
        <w:t xml:space="preserve">to engage </w:t>
      </w:r>
      <w:r w:rsidRPr="00BA06F2">
        <w:rPr>
          <w:rFonts w:cstheme="minorHAnsi"/>
        </w:rPr>
        <w:t xml:space="preserve">federal and private expertise </w:t>
      </w:r>
      <w:r w:rsidR="00B236BE" w:rsidRPr="00BA06F2">
        <w:rPr>
          <w:rFonts w:cstheme="minorHAnsi"/>
        </w:rPr>
        <w:t xml:space="preserve">and </w:t>
      </w:r>
      <w:r w:rsidRPr="00BA06F2">
        <w:rPr>
          <w:rFonts w:cstheme="minorHAnsi"/>
        </w:rPr>
        <w:t xml:space="preserve">to obtain </w:t>
      </w:r>
      <w:r w:rsidR="00B236BE" w:rsidRPr="00BA06F2">
        <w:rPr>
          <w:rFonts w:cstheme="minorHAnsi"/>
        </w:rPr>
        <w:t xml:space="preserve">technical assistance and </w:t>
      </w:r>
      <w:r w:rsidRPr="00BA06F2">
        <w:rPr>
          <w:rFonts w:cstheme="minorHAnsi"/>
        </w:rPr>
        <w:t>resources</w:t>
      </w:r>
      <w:r w:rsidR="00B236BE" w:rsidRPr="00BA06F2">
        <w:rPr>
          <w:rFonts w:cstheme="minorHAnsi"/>
        </w:rPr>
        <w:t>.  GA DJJ</w:t>
      </w:r>
      <w:r w:rsidRPr="00BA06F2">
        <w:rPr>
          <w:rFonts w:cstheme="minorHAnsi"/>
        </w:rPr>
        <w:t xml:space="preserve"> will continue all our efforts to develop and implement “best practice” programs to improve the level of safety </w:t>
      </w:r>
      <w:r w:rsidR="00B236BE" w:rsidRPr="00BA06F2">
        <w:rPr>
          <w:rFonts w:cstheme="minorHAnsi"/>
        </w:rPr>
        <w:t>for</w:t>
      </w:r>
      <w:r w:rsidRPr="00BA06F2">
        <w:rPr>
          <w:rFonts w:cstheme="minorHAnsi"/>
        </w:rPr>
        <w:t xml:space="preserve"> youth in confinement and </w:t>
      </w:r>
      <w:r w:rsidR="00B236BE" w:rsidRPr="00BA06F2">
        <w:rPr>
          <w:rFonts w:cstheme="minorHAnsi"/>
        </w:rPr>
        <w:t xml:space="preserve">to </w:t>
      </w:r>
      <w:r w:rsidRPr="00BA06F2">
        <w:rPr>
          <w:rFonts w:cstheme="minorHAnsi"/>
        </w:rPr>
        <w:t>enhance services for the youth in our care.</w:t>
      </w:r>
    </w:p>
    <w:p w:rsidR="00F52E2A" w:rsidRPr="00BA06F2" w:rsidRDefault="00F52E2A" w:rsidP="00F52E2A">
      <w:pPr>
        <w:spacing w:after="0" w:line="240" w:lineRule="auto"/>
        <w:jc w:val="both"/>
        <w:rPr>
          <w:rFonts w:cstheme="minorHAnsi"/>
          <w:sz w:val="16"/>
          <w:szCs w:val="16"/>
        </w:rPr>
      </w:pPr>
    </w:p>
    <w:p w:rsidR="00D47279" w:rsidRPr="00BA06F2" w:rsidRDefault="00D47279" w:rsidP="0002028A">
      <w:pPr>
        <w:spacing w:after="0" w:line="240" w:lineRule="auto"/>
        <w:rPr>
          <w:rFonts w:ascii="Arial Black" w:hAnsi="Arial Black"/>
          <w:b/>
          <w:sz w:val="20"/>
          <w:szCs w:val="20"/>
        </w:rPr>
      </w:pPr>
    </w:p>
    <w:p w:rsidR="00F52E2A" w:rsidRPr="00BA06F2" w:rsidRDefault="0002028A" w:rsidP="0002028A">
      <w:pPr>
        <w:spacing w:after="0" w:line="240" w:lineRule="auto"/>
        <w:rPr>
          <w:b/>
          <w:sz w:val="20"/>
          <w:szCs w:val="20"/>
        </w:rPr>
      </w:pPr>
      <w:r w:rsidRPr="00BA06F2">
        <w:rPr>
          <w:sz w:val="20"/>
          <w:szCs w:val="20"/>
        </w:rPr>
        <w:t xml:space="preserve"> </w:t>
      </w:r>
      <w:r w:rsidR="00D47279" w:rsidRPr="00BA06F2">
        <w:rPr>
          <w:b/>
          <w:sz w:val="20"/>
          <w:szCs w:val="20"/>
        </w:rPr>
        <w:t xml:space="preserve">Submitted by: Adam T. Barnett, </w:t>
      </w:r>
      <w:r w:rsidR="0018469E" w:rsidRPr="00BA06F2">
        <w:rPr>
          <w:b/>
          <w:sz w:val="20"/>
          <w:szCs w:val="20"/>
        </w:rPr>
        <w:t>BS, MA, CQIA</w:t>
      </w:r>
    </w:p>
    <w:p w:rsidR="0018469E" w:rsidRPr="00BA06F2" w:rsidRDefault="00D47279" w:rsidP="0002028A">
      <w:pPr>
        <w:spacing w:after="0" w:line="240" w:lineRule="auto"/>
        <w:rPr>
          <w:sz w:val="20"/>
          <w:szCs w:val="20"/>
        </w:rPr>
      </w:pPr>
      <w:r w:rsidRPr="00BA06F2">
        <w:rPr>
          <w:sz w:val="20"/>
          <w:szCs w:val="20"/>
        </w:rPr>
        <w:t xml:space="preserve">                            </w:t>
      </w:r>
      <w:r w:rsidR="0018469E" w:rsidRPr="00BA06F2">
        <w:rPr>
          <w:sz w:val="20"/>
          <w:szCs w:val="20"/>
        </w:rPr>
        <w:t>DOJ Certified Juvenile Auditor &amp; ACA Certified Auditor</w:t>
      </w:r>
    </w:p>
    <w:p w:rsidR="0018469E" w:rsidRPr="00BA06F2" w:rsidRDefault="0018469E" w:rsidP="0002028A">
      <w:pPr>
        <w:spacing w:after="0" w:line="240" w:lineRule="auto"/>
        <w:rPr>
          <w:sz w:val="20"/>
          <w:szCs w:val="20"/>
        </w:rPr>
      </w:pPr>
      <w:r w:rsidRPr="00BA06F2">
        <w:rPr>
          <w:sz w:val="20"/>
          <w:szCs w:val="20"/>
        </w:rPr>
        <w:t xml:space="preserve">                            DJJ PREA Program Coordinator</w:t>
      </w:r>
    </w:p>
    <w:p w:rsidR="00D47279" w:rsidRPr="00BA06F2" w:rsidRDefault="00D47279" w:rsidP="0002028A">
      <w:pPr>
        <w:spacing w:after="0" w:line="240" w:lineRule="auto"/>
        <w:rPr>
          <w:sz w:val="20"/>
          <w:szCs w:val="20"/>
        </w:rPr>
      </w:pPr>
    </w:p>
    <w:p w:rsidR="00F52E2A" w:rsidRPr="00BA06F2" w:rsidRDefault="00F52E2A" w:rsidP="00472A2D">
      <w:pPr>
        <w:spacing w:after="0" w:line="240" w:lineRule="auto"/>
        <w:jc w:val="center"/>
        <w:rPr>
          <w:rFonts w:ascii="Arial Black" w:hAnsi="Arial Black"/>
          <w:b/>
          <w:sz w:val="20"/>
          <w:szCs w:val="20"/>
        </w:rPr>
      </w:pPr>
    </w:p>
    <w:p w:rsidR="002421E2" w:rsidRPr="00733883" w:rsidRDefault="002421E2" w:rsidP="002421E2">
      <w:pPr>
        <w:spacing w:after="0" w:line="240" w:lineRule="auto"/>
        <w:rPr>
          <w:sz w:val="20"/>
          <w:szCs w:val="20"/>
        </w:rPr>
      </w:pPr>
      <w:r w:rsidRPr="00BA06F2">
        <w:rPr>
          <w:rFonts w:ascii="Arial Black" w:hAnsi="Arial Black"/>
          <w:b/>
          <w:sz w:val="20"/>
          <w:szCs w:val="20"/>
        </w:rPr>
        <w:t>Note</w:t>
      </w:r>
      <w:r w:rsidRPr="00BA06F2">
        <w:rPr>
          <w:b/>
          <w:sz w:val="20"/>
          <w:szCs w:val="20"/>
        </w:rPr>
        <w:t xml:space="preserve">: </w:t>
      </w:r>
      <w:r w:rsidRPr="00BA06F2">
        <w:rPr>
          <w:sz w:val="20"/>
          <w:szCs w:val="20"/>
        </w:rPr>
        <w:t>PREA Annual Report – 2013 will be posted on the DJJ PREA Website pending review for compliance</w:t>
      </w:r>
      <w:r w:rsidR="00733883" w:rsidRPr="00BA06F2">
        <w:rPr>
          <w:sz w:val="20"/>
          <w:szCs w:val="20"/>
        </w:rPr>
        <w:t xml:space="preserve"> with PREA Standard # 115.388 from</w:t>
      </w:r>
      <w:r w:rsidRPr="00BA06F2">
        <w:rPr>
          <w:sz w:val="20"/>
          <w:szCs w:val="20"/>
        </w:rPr>
        <w:t xml:space="preserve"> the contracted DOJ certified Juvenile PREA Auditor.</w:t>
      </w:r>
    </w:p>
    <w:sectPr w:rsidR="002421E2" w:rsidRPr="00733883" w:rsidSect="0001581F">
      <w:headerReference w:type="default" r:id="rId11"/>
      <w:footerReference w:type="default" r:id="rId12"/>
      <w:pgSz w:w="12240" w:h="15840"/>
      <w:pgMar w:top="864" w:right="1440" w:bottom="1440" w:left="1152"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4A" w:rsidRDefault="00164E4A" w:rsidP="00FF0CF5">
      <w:pPr>
        <w:spacing w:after="0" w:line="240" w:lineRule="auto"/>
      </w:pPr>
      <w:r>
        <w:separator/>
      </w:r>
    </w:p>
  </w:endnote>
  <w:endnote w:type="continuationSeparator" w:id="0">
    <w:p w:rsidR="00164E4A" w:rsidRDefault="00164E4A" w:rsidP="00FF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81244"/>
      <w:docPartObj>
        <w:docPartGallery w:val="Page Numbers (Bottom of Page)"/>
        <w:docPartUnique/>
      </w:docPartObj>
    </w:sdtPr>
    <w:sdtEndPr/>
    <w:sdtContent>
      <w:sdt>
        <w:sdtPr>
          <w:id w:val="1267890641"/>
          <w:docPartObj>
            <w:docPartGallery w:val="Page Numbers (Top of Page)"/>
            <w:docPartUnique/>
          </w:docPartObj>
        </w:sdtPr>
        <w:sdtEndPr/>
        <w:sdtContent>
          <w:p w:rsidR="00164E4A" w:rsidRDefault="00164E4A" w:rsidP="00334F93">
            <w:pPr>
              <w:pStyle w:val="Footer"/>
            </w:pPr>
            <w:r>
              <w:t xml:space="preserve">                                             </w:t>
            </w:r>
          </w:p>
          <w:p w:rsidR="00164E4A" w:rsidRDefault="00164E4A" w:rsidP="00282352">
            <w:pPr>
              <w:pStyle w:val="Header"/>
              <w:jc w:val="both"/>
            </w:pPr>
            <w:r>
              <w:t xml:space="preserve">                     </w:t>
            </w:r>
            <w:r w:rsidRPr="008603D0">
              <w:rPr>
                <w:b/>
                <w:i/>
                <w:sz w:val="18"/>
                <w:szCs w:val="18"/>
              </w:rPr>
              <w:t xml:space="preserve">2013 </w:t>
            </w:r>
            <w:r>
              <w:rPr>
                <w:b/>
                <w:i/>
                <w:sz w:val="18"/>
                <w:szCs w:val="18"/>
              </w:rPr>
              <w:t xml:space="preserve">PREA </w:t>
            </w:r>
            <w:r w:rsidRPr="008603D0">
              <w:rPr>
                <w:b/>
                <w:i/>
                <w:sz w:val="18"/>
                <w:szCs w:val="18"/>
              </w:rPr>
              <w:t>Annual Report</w:t>
            </w:r>
            <w:r w:rsidRPr="00334F93">
              <w:rPr>
                <w:b/>
                <w:i/>
                <w:sz w:val="18"/>
                <w:szCs w:val="18"/>
              </w:rPr>
              <w:t xml:space="preserve">  </w:t>
            </w:r>
            <w:r>
              <w:rPr>
                <w:b/>
                <w:i/>
                <w:sz w:val="18"/>
                <w:szCs w:val="18"/>
              </w:rPr>
              <w:t xml:space="preserve"> </w:t>
            </w:r>
            <w:r>
              <w:t xml:space="preserve">            </w:t>
            </w:r>
            <w:r w:rsidRPr="00334F93">
              <w:rPr>
                <w:b/>
                <w:i/>
                <w:sz w:val="18"/>
                <w:szCs w:val="18"/>
              </w:rPr>
              <w:t xml:space="preserve">           </w:t>
            </w:r>
            <w:r>
              <w:t xml:space="preserve">                 </w:t>
            </w:r>
            <w:r w:rsidRPr="00334F93">
              <w:t xml:space="preserve">                                                           </w:t>
            </w:r>
            <w:r>
              <w:t xml:space="preserve">        </w:t>
            </w:r>
            <w:r w:rsidRPr="00334F93">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3B5947">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5947">
              <w:rPr>
                <w:b/>
                <w:bCs/>
                <w:noProof/>
              </w:rPr>
              <w:t>9</w:t>
            </w:r>
            <w:r>
              <w:rPr>
                <w:b/>
                <w:bCs/>
                <w:sz w:val="24"/>
                <w:szCs w:val="24"/>
              </w:rPr>
              <w:fldChar w:fldCharType="end"/>
            </w:r>
          </w:p>
        </w:sdtContent>
      </w:sdt>
    </w:sdtContent>
  </w:sdt>
  <w:p w:rsidR="00164E4A" w:rsidRDefault="00164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4A" w:rsidRDefault="00164E4A" w:rsidP="00FF0CF5">
      <w:pPr>
        <w:spacing w:after="0" w:line="240" w:lineRule="auto"/>
      </w:pPr>
      <w:r>
        <w:separator/>
      </w:r>
    </w:p>
  </w:footnote>
  <w:footnote w:type="continuationSeparator" w:id="0">
    <w:p w:rsidR="00164E4A" w:rsidRDefault="00164E4A" w:rsidP="00FF0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4A" w:rsidRDefault="00164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032"/>
    <w:multiLevelType w:val="hybridMultilevel"/>
    <w:tmpl w:val="0E3C8D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0A0376"/>
    <w:multiLevelType w:val="hybridMultilevel"/>
    <w:tmpl w:val="03089A50"/>
    <w:lvl w:ilvl="0" w:tplc="0C5A1B2E">
      <w:start w:val="1"/>
      <w:numFmt w:val="decimal"/>
      <w:lvlText w:val="%1."/>
      <w:lvlJc w:val="left"/>
      <w:pPr>
        <w:ind w:left="720" w:hanging="360"/>
      </w:pPr>
      <w:rPr>
        <w:rFonts w:cstheme="minorBid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21A90"/>
    <w:multiLevelType w:val="hybridMultilevel"/>
    <w:tmpl w:val="79AC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23DDE"/>
    <w:multiLevelType w:val="hybridMultilevel"/>
    <w:tmpl w:val="04AEE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62663"/>
    <w:multiLevelType w:val="hybridMultilevel"/>
    <w:tmpl w:val="BD1C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D0475"/>
    <w:multiLevelType w:val="hybridMultilevel"/>
    <w:tmpl w:val="434E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4006A"/>
    <w:multiLevelType w:val="hybridMultilevel"/>
    <w:tmpl w:val="1D42D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613EC7"/>
    <w:multiLevelType w:val="hybridMultilevel"/>
    <w:tmpl w:val="0B04F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8E041E"/>
    <w:multiLevelType w:val="hybridMultilevel"/>
    <w:tmpl w:val="4C3C1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74572"/>
    <w:multiLevelType w:val="hybridMultilevel"/>
    <w:tmpl w:val="A942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75C81"/>
    <w:multiLevelType w:val="hybridMultilevel"/>
    <w:tmpl w:val="4848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67735"/>
    <w:multiLevelType w:val="hybridMultilevel"/>
    <w:tmpl w:val="03089A50"/>
    <w:lvl w:ilvl="0" w:tplc="0C5A1B2E">
      <w:start w:val="1"/>
      <w:numFmt w:val="decimal"/>
      <w:lvlText w:val="%1."/>
      <w:lvlJc w:val="left"/>
      <w:pPr>
        <w:ind w:left="720" w:hanging="360"/>
      </w:pPr>
      <w:rPr>
        <w:rFonts w:cstheme="minorBid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B4F25"/>
    <w:multiLevelType w:val="hybridMultilevel"/>
    <w:tmpl w:val="1A045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032A57"/>
    <w:multiLevelType w:val="hybridMultilevel"/>
    <w:tmpl w:val="65D8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C72A9"/>
    <w:multiLevelType w:val="hybridMultilevel"/>
    <w:tmpl w:val="7256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3206F"/>
    <w:multiLevelType w:val="hybridMultilevel"/>
    <w:tmpl w:val="4948E2EC"/>
    <w:lvl w:ilvl="0" w:tplc="C8B6A416">
      <w:start w:val="20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E7089B"/>
    <w:multiLevelType w:val="hybridMultilevel"/>
    <w:tmpl w:val="57E2F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B12D5"/>
    <w:multiLevelType w:val="hybridMultilevel"/>
    <w:tmpl w:val="378EB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B3CC0"/>
    <w:multiLevelType w:val="hybridMultilevel"/>
    <w:tmpl w:val="920E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501D4A"/>
    <w:multiLevelType w:val="hybridMultilevel"/>
    <w:tmpl w:val="F70C3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210081"/>
    <w:multiLevelType w:val="hybridMultilevel"/>
    <w:tmpl w:val="80386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8732CA"/>
    <w:multiLevelType w:val="hybridMultilevel"/>
    <w:tmpl w:val="5730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D3933"/>
    <w:multiLevelType w:val="hybridMultilevel"/>
    <w:tmpl w:val="DE920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6B7971"/>
    <w:multiLevelType w:val="hybridMultilevel"/>
    <w:tmpl w:val="57B2BE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D1BF3"/>
    <w:multiLevelType w:val="hybridMultilevel"/>
    <w:tmpl w:val="14E05522"/>
    <w:lvl w:ilvl="0" w:tplc="9A0AE5B6">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164DF9"/>
    <w:multiLevelType w:val="hybridMultilevel"/>
    <w:tmpl w:val="F5545D3C"/>
    <w:lvl w:ilvl="0" w:tplc="F2EAA812">
      <w:start w:val="1"/>
      <w:numFmt w:val="bullet"/>
      <w:lvlText w:val=""/>
      <w:lvlJc w:val="righ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6">
    <w:nsid w:val="4C3C54EE"/>
    <w:multiLevelType w:val="hybridMultilevel"/>
    <w:tmpl w:val="8BAA9C74"/>
    <w:lvl w:ilvl="0" w:tplc="7E7A7F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1C77D6"/>
    <w:multiLevelType w:val="hybridMultilevel"/>
    <w:tmpl w:val="233E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D22AF4"/>
    <w:multiLevelType w:val="hybridMultilevel"/>
    <w:tmpl w:val="FEF8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D299F"/>
    <w:multiLevelType w:val="hybridMultilevel"/>
    <w:tmpl w:val="CBFE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527887"/>
    <w:multiLevelType w:val="hybridMultilevel"/>
    <w:tmpl w:val="E09670A4"/>
    <w:lvl w:ilvl="0" w:tplc="C41AD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412A3"/>
    <w:multiLevelType w:val="hybridMultilevel"/>
    <w:tmpl w:val="B3D2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B128E"/>
    <w:multiLevelType w:val="hybridMultilevel"/>
    <w:tmpl w:val="920E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C4331"/>
    <w:multiLevelType w:val="hybridMultilevel"/>
    <w:tmpl w:val="3D50B1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F2D7212"/>
    <w:multiLevelType w:val="hybridMultilevel"/>
    <w:tmpl w:val="D478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5673BD"/>
    <w:multiLevelType w:val="hybridMultilevel"/>
    <w:tmpl w:val="28361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1AC2E9A"/>
    <w:multiLevelType w:val="hybridMultilevel"/>
    <w:tmpl w:val="65C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7D19F8"/>
    <w:multiLevelType w:val="hybridMultilevel"/>
    <w:tmpl w:val="088666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ED32D93"/>
    <w:multiLevelType w:val="hybridMultilevel"/>
    <w:tmpl w:val="1BB4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6"/>
  </w:num>
  <w:num w:numId="4">
    <w:abstractNumId w:val="17"/>
  </w:num>
  <w:num w:numId="5">
    <w:abstractNumId w:val="23"/>
  </w:num>
  <w:num w:numId="6">
    <w:abstractNumId w:val="8"/>
  </w:num>
  <w:num w:numId="7">
    <w:abstractNumId w:val="7"/>
  </w:num>
  <w:num w:numId="8">
    <w:abstractNumId w:val="38"/>
  </w:num>
  <w:num w:numId="9">
    <w:abstractNumId w:val="22"/>
  </w:num>
  <w:num w:numId="10">
    <w:abstractNumId w:val="36"/>
  </w:num>
  <w:num w:numId="11">
    <w:abstractNumId w:val="5"/>
  </w:num>
  <w:num w:numId="12">
    <w:abstractNumId w:val="6"/>
  </w:num>
  <w:num w:numId="13">
    <w:abstractNumId w:val="12"/>
  </w:num>
  <w:num w:numId="14">
    <w:abstractNumId w:val="35"/>
  </w:num>
  <w:num w:numId="15">
    <w:abstractNumId w:val="4"/>
  </w:num>
  <w:num w:numId="16">
    <w:abstractNumId w:val="27"/>
  </w:num>
  <w:num w:numId="17">
    <w:abstractNumId w:val="28"/>
  </w:num>
  <w:num w:numId="18">
    <w:abstractNumId w:val="13"/>
  </w:num>
  <w:num w:numId="19">
    <w:abstractNumId w:val="0"/>
  </w:num>
  <w:num w:numId="20">
    <w:abstractNumId w:val="21"/>
  </w:num>
  <w:num w:numId="21">
    <w:abstractNumId w:val="33"/>
  </w:num>
  <w:num w:numId="22">
    <w:abstractNumId w:val="31"/>
  </w:num>
  <w:num w:numId="23">
    <w:abstractNumId w:val="34"/>
  </w:num>
  <w:num w:numId="24">
    <w:abstractNumId w:val="37"/>
  </w:num>
  <w:num w:numId="25">
    <w:abstractNumId w:val="29"/>
  </w:num>
  <w:num w:numId="26">
    <w:abstractNumId w:val="2"/>
  </w:num>
  <w:num w:numId="27">
    <w:abstractNumId w:val="15"/>
  </w:num>
  <w:num w:numId="28">
    <w:abstractNumId w:val="14"/>
  </w:num>
  <w:num w:numId="29">
    <w:abstractNumId w:val="30"/>
  </w:num>
  <w:num w:numId="30">
    <w:abstractNumId w:val="24"/>
  </w:num>
  <w:num w:numId="31">
    <w:abstractNumId w:val="9"/>
  </w:num>
  <w:num w:numId="32">
    <w:abstractNumId w:val="25"/>
  </w:num>
  <w:num w:numId="33">
    <w:abstractNumId w:val="10"/>
  </w:num>
  <w:num w:numId="34">
    <w:abstractNumId w:val="19"/>
  </w:num>
  <w:num w:numId="35">
    <w:abstractNumId w:val="16"/>
  </w:num>
  <w:num w:numId="36">
    <w:abstractNumId w:val="3"/>
  </w:num>
  <w:num w:numId="37">
    <w:abstractNumId w:val="1"/>
  </w:num>
  <w:num w:numId="38">
    <w:abstractNumId w:val="2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F9"/>
    <w:rsid w:val="000012BC"/>
    <w:rsid w:val="00003DF5"/>
    <w:rsid w:val="0000481A"/>
    <w:rsid w:val="0000645F"/>
    <w:rsid w:val="0001405D"/>
    <w:rsid w:val="0001581F"/>
    <w:rsid w:val="0002028A"/>
    <w:rsid w:val="00021B8A"/>
    <w:rsid w:val="00033E0C"/>
    <w:rsid w:val="00034674"/>
    <w:rsid w:val="0003687A"/>
    <w:rsid w:val="00041EA0"/>
    <w:rsid w:val="00043817"/>
    <w:rsid w:val="000527D5"/>
    <w:rsid w:val="00053D82"/>
    <w:rsid w:val="000762A6"/>
    <w:rsid w:val="000813ED"/>
    <w:rsid w:val="000A5392"/>
    <w:rsid w:val="000B0DF4"/>
    <w:rsid w:val="000D1138"/>
    <w:rsid w:val="000D5ACD"/>
    <w:rsid w:val="000E18FC"/>
    <w:rsid w:val="000E6078"/>
    <w:rsid w:val="000F2059"/>
    <w:rsid w:val="000F79A2"/>
    <w:rsid w:val="000F79AB"/>
    <w:rsid w:val="001128FE"/>
    <w:rsid w:val="0011425F"/>
    <w:rsid w:val="0012765F"/>
    <w:rsid w:val="0013529E"/>
    <w:rsid w:val="00141F45"/>
    <w:rsid w:val="00161161"/>
    <w:rsid w:val="00161381"/>
    <w:rsid w:val="00163D98"/>
    <w:rsid w:val="00164E4A"/>
    <w:rsid w:val="0016747F"/>
    <w:rsid w:val="00183F7D"/>
    <w:rsid w:val="0018469E"/>
    <w:rsid w:val="001C3F1B"/>
    <w:rsid w:val="001D1434"/>
    <w:rsid w:val="001D2C53"/>
    <w:rsid w:val="001D6693"/>
    <w:rsid w:val="001F4B6B"/>
    <w:rsid w:val="00201341"/>
    <w:rsid w:val="002306AF"/>
    <w:rsid w:val="002333D3"/>
    <w:rsid w:val="002421E2"/>
    <w:rsid w:val="00253D03"/>
    <w:rsid w:val="00265EA3"/>
    <w:rsid w:val="00282352"/>
    <w:rsid w:val="002830C2"/>
    <w:rsid w:val="00285E32"/>
    <w:rsid w:val="0029534E"/>
    <w:rsid w:val="00297E1A"/>
    <w:rsid w:val="002A0424"/>
    <w:rsid w:val="002A4304"/>
    <w:rsid w:val="002A6562"/>
    <w:rsid w:val="002B13EC"/>
    <w:rsid w:val="002B229A"/>
    <w:rsid w:val="002C478C"/>
    <w:rsid w:val="002D488B"/>
    <w:rsid w:val="002E0355"/>
    <w:rsid w:val="002E57FE"/>
    <w:rsid w:val="002E7072"/>
    <w:rsid w:val="002E7207"/>
    <w:rsid w:val="00300FA0"/>
    <w:rsid w:val="003067EE"/>
    <w:rsid w:val="0031070D"/>
    <w:rsid w:val="00311C33"/>
    <w:rsid w:val="00315FF4"/>
    <w:rsid w:val="00320DB8"/>
    <w:rsid w:val="00320F2C"/>
    <w:rsid w:val="00325AD0"/>
    <w:rsid w:val="003266EC"/>
    <w:rsid w:val="00327474"/>
    <w:rsid w:val="00334F93"/>
    <w:rsid w:val="003405D1"/>
    <w:rsid w:val="003458ED"/>
    <w:rsid w:val="0035043C"/>
    <w:rsid w:val="003504A9"/>
    <w:rsid w:val="00351269"/>
    <w:rsid w:val="00372D28"/>
    <w:rsid w:val="00382F75"/>
    <w:rsid w:val="00383311"/>
    <w:rsid w:val="0038675B"/>
    <w:rsid w:val="00390472"/>
    <w:rsid w:val="00392AA7"/>
    <w:rsid w:val="003B122A"/>
    <w:rsid w:val="003B25F0"/>
    <w:rsid w:val="003B5947"/>
    <w:rsid w:val="003B7CD5"/>
    <w:rsid w:val="003C3FDF"/>
    <w:rsid w:val="003C523D"/>
    <w:rsid w:val="003D1D42"/>
    <w:rsid w:val="003E592C"/>
    <w:rsid w:val="003F4043"/>
    <w:rsid w:val="00406423"/>
    <w:rsid w:val="0041037F"/>
    <w:rsid w:val="00420634"/>
    <w:rsid w:val="004273F7"/>
    <w:rsid w:val="00436058"/>
    <w:rsid w:val="004403A3"/>
    <w:rsid w:val="00446A8B"/>
    <w:rsid w:val="00452D53"/>
    <w:rsid w:val="00463D31"/>
    <w:rsid w:val="00465AF0"/>
    <w:rsid w:val="00465E1F"/>
    <w:rsid w:val="00472A2D"/>
    <w:rsid w:val="00477925"/>
    <w:rsid w:val="00480361"/>
    <w:rsid w:val="00482686"/>
    <w:rsid w:val="00484BF5"/>
    <w:rsid w:val="004A6F2B"/>
    <w:rsid w:val="004C4C99"/>
    <w:rsid w:val="004D41F8"/>
    <w:rsid w:val="004D63C3"/>
    <w:rsid w:val="004F410B"/>
    <w:rsid w:val="004F4954"/>
    <w:rsid w:val="0050007B"/>
    <w:rsid w:val="005025AA"/>
    <w:rsid w:val="00506655"/>
    <w:rsid w:val="0051171A"/>
    <w:rsid w:val="00520905"/>
    <w:rsid w:val="0053540A"/>
    <w:rsid w:val="0056747A"/>
    <w:rsid w:val="00575D1D"/>
    <w:rsid w:val="00582A2F"/>
    <w:rsid w:val="00583038"/>
    <w:rsid w:val="00585C1F"/>
    <w:rsid w:val="00590895"/>
    <w:rsid w:val="00590D70"/>
    <w:rsid w:val="005953E5"/>
    <w:rsid w:val="00596556"/>
    <w:rsid w:val="005A1C74"/>
    <w:rsid w:val="005A1FEE"/>
    <w:rsid w:val="005A4E9F"/>
    <w:rsid w:val="005A5ACA"/>
    <w:rsid w:val="005B1F95"/>
    <w:rsid w:val="005B60FF"/>
    <w:rsid w:val="005B736F"/>
    <w:rsid w:val="005C639F"/>
    <w:rsid w:val="005D2A9E"/>
    <w:rsid w:val="005D3E89"/>
    <w:rsid w:val="005E4FB8"/>
    <w:rsid w:val="005F29A7"/>
    <w:rsid w:val="005F3526"/>
    <w:rsid w:val="005F5A0B"/>
    <w:rsid w:val="00601991"/>
    <w:rsid w:val="0060301E"/>
    <w:rsid w:val="006139A2"/>
    <w:rsid w:val="006236A2"/>
    <w:rsid w:val="00634AF6"/>
    <w:rsid w:val="00637237"/>
    <w:rsid w:val="00637FC7"/>
    <w:rsid w:val="006511D8"/>
    <w:rsid w:val="0066150E"/>
    <w:rsid w:val="0066738B"/>
    <w:rsid w:val="00680DEB"/>
    <w:rsid w:val="006843EC"/>
    <w:rsid w:val="00686A59"/>
    <w:rsid w:val="006A42A0"/>
    <w:rsid w:val="006A753C"/>
    <w:rsid w:val="006B0315"/>
    <w:rsid w:val="006B0CD5"/>
    <w:rsid w:val="006D1C9A"/>
    <w:rsid w:val="006D4D96"/>
    <w:rsid w:val="006E17D3"/>
    <w:rsid w:val="0070159D"/>
    <w:rsid w:val="00704197"/>
    <w:rsid w:val="00710517"/>
    <w:rsid w:val="00711FDA"/>
    <w:rsid w:val="00720B10"/>
    <w:rsid w:val="00733883"/>
    <w:rsid w:val="0073699E"/>
    <w:rsid w:val="00736C44"/>
    <w:rsid w:val="007551B9"/>
    <w:rsid w:val="0076023B"/>
    <w:rsid w:val="0076573A"/>
    <w:rsid w:val="00765D65"/>
    <w:rsid w:val="007740BD"/>
    <w:rsid w:val="00777F72"/>
    <w:rsid w:val="007866F3"/>
    <w:rsid w:val="0079591B"/>
    <w:rsid w:val="00795B06"/>
    <w:rsid w:val="007A23F5"/>
    <w:rsid w:val="007B6666"/>
    <w:rsid w:val="007C578E"/>
    <w:rsid w:val="007D1B50"/>
    <w:rsid w:val="007D1E7D"/>
    <w:rsid w:val="007E1478"/>
    <w:rsid w:val="00801D53"/>
    <w:rsid w:val="00813A72"/>
    <w:rsid w:val="00815E3F"/>
    <w:rsid w:val="00820C0C"/>
    <w:rsid w:val="00822724"/>
    <w:rsid w:val="008603D0"/>
    <w:rsid w:val="00863BBB"/>
    <w:rsid w:val="00882FAC"/>
    <w:rsid w:val="0089198A"/>
    <w:rsid w:val="0089219A"/>
    <w:rsid w:val="00895EE6"/>
    <w:rsid w:val="008A1631"/>
    <w:rsid w:val="008A4FF1"/>
    <w:rsid w:val="008A62E6"/>
    <w:rsid w:val="008B6AD6"/>
    <w:rsid w:val="008C1C8D"/>
    <w:rsid w:val="008D36B9"/>
    <w:rsid w:val="008D5EB3"/>
    <w:rsid w:val="008E2F11"/>
    <w:rsid w:val="008F4A88"/>
    <w:rsid w:val="00921468"/>
    <w:rsid w:val="00931D03"/>
    <w:rsid w:val="00936CB1"/>
    <w:rsid w:val="00940F60"/>
    <w:rsid w:val="00941AAA"/>
    <w:rsid w:val="009436E2"/>
    <w:rsid w:val="009526A5"/>
    <w:rsid w:val="00955ED8"/>
    <w:rsid w:val="009566DB"/>
    <w:rsid w:val="009618E2"/>
    <w:rsid w:val="00964C2E"/>
    <w:rsid w:val="00967FF5"/>
    <w:rsid w:val="00975B65"/>
    <w:rsid w:val="00982670"/>
    <w:rsid w:val="00983847"/>
    <w:rsid w:val="00983A7F"/>
    <w:rsid w:val="009A0F78"/>
    <w:rsid w:val="009A50DC"/>
    <w:rsid w:val="009A63FC"/>
    <w:rsid w:val="009B5FED"/>
    <w:rsid w:val="009C1143"/>
    <w:rsid w:val="009C5064"/>
    <w:rsid w:val="009E0494"/>
    <w:rsid w:val="009F4982"/>
    <w:rsid w:val="009F6489"/>
    <w:rsid w:val="00A0294B"/>
    <w:rsid w:val="00A0498A"/>
    <w:rsid w:val="00A44E0D"/>
    <w:rsid w:val="00A50836"/>
    <w:rsid w:val="00A51C8B"/>
    <w:rsid w:val="00A6175C"/>
    <w:rsid w:val="00A8191F"/>
    <w:rsid w:val="00A82648"/>
    <w:rsid w:val="00A8307E"/>
    <w:rsid w:val="00A901CD"/>
    <w:rsid w:val="00A90B6B"/>
    <w:rsid w:val="00A90DB1"/>
    <w:rsid w:val="00A95DA5"/>
    <w:rsid w:val="00AA348F"/>
    <w:rsid w:val="00AA7DD3"/>
    <w:rsid w:val="00AB0977"/>
    <w:rsid w:val="00AB2062"/>
    <w:rsid w:val="00AC4173"/>
    <w:rsid w:val="00AC6E24"/>
    <w:rsid w:val="00AD26D2"/>
    <w:rsid w:val="00AE1146"/>
    <w:rsid w:val="00AE3726"/>
    <w:rsid w:val="00AF088A"/>
    <w:rsid w:val="00AF36CC"/>
    <w:rsid w:val="00B039D2"/>
    <w:rsid w:val="00B06335"/>
    <w:rsid w:val="00B11CAC"/>
    <w:rsid w:val="00B1205C"/>
    <w:rsid w:val="00B211A1"/>
    <w:rsid w:val="00B236BE"/>
    <w:rsid w:val="00B5058A"/>
    <w:rsid w:val="00B67B6A"/>
    <w:rsid w:val="00B70780"/>
    <w:rsid w:val="00B732C1"/>
    <w:rsid w:val="00B90053"/>
    <w:rsid w:val="00B90545"/>
    <w:rsid w:val="00B91B2E"/>
    <w:rsid w:val="00B946F4"/>
    <w:rsid w:val="00B97B47"/>
    <w:rsid w:val="00BA06F2"/>
    <w:rsid w:val="00BA713D"/>
    <w:rsid w:val="00BB59FB"/>
    <w:rsid w:val="00BD0063"/>
    <w:rsid w:val="00BD08D7"/>
    <w:rsid w:val="00BD5756"/>
    <w:rsid w:val="00BD5D1E"/>
    <w:rsid w:val="00BE0EE4"/>
    <w:rsid w:val="00BE5E81"/>
    <w:rsid w:val="00C05251"/>
    <w:rsid w:val="00C10465"/>
    <w:rsid w:val="00C13AA8"/>
    <w:rsid w:val="00C23E7E"/>
    <w:rsid w:val="00C2543B"/>
    <w:rsid w:val="00C34C77"/>
    <w:rsid w:val="00C36FFA"/>
    <w:rsid w:val="00C4104B"/>
    <w:rsid w:val="00C50A08"/>
    <w:rsid w:val="00C60C64"/>
    <w:rsid w:val="00C65A6A"/>
    <w:rsid w:val="00C758AD"/>
    <w:rsid w:val="00C76267"/>
    <w:rsid w:val="00C86ECB"/>
    <w:rsid w:val="00C877F9"/>
    <w:rsid w:val="00C87D6A"/>
    <w:rsid w:val="00CA2C4A"/>
    <w:rsid w:val="00CA5E37"/>
    <w:rsid w:val="00CB25A0"/>
    <w:rsid w:val="00CB50A0"/>
    <w:rsid w:val="00CC505F"/>
    <w:rsid w:val="00CD0874"/>
    <w:rsid w:val="00CD1E41"/>
    <w:rsid w:val="00CD2233"/>
    <w:rsid w:val="00CE7F91"/>
    <w:rsid w:val="00CF79F3"/>
    <w:rsid w:val="00D01BCC"/>
    <w:rsid w:val="00D1594D"/>
    <w:rsid w:val="00D36EE6"/>
    <w:rsid w:val="00D36F8C"/>
    <w:rsid w:val="00D449FF"/>
    <w:rsid w:val="00D47279"/>
    <w:rsid w:val="00D52C83"/>
    <w:rsid w:val="00D57067"/>
    <w:rsid w:val="00D66AD7"/>
    <w:rsid w:val="00D66B60"/>
    <w:rsid w:val="00D7332B"/>
    <w:rsid w:val="00D74240"/>
    <w:rsid w:val="00D8607D"/>
    <w:rsid w:val="00D92BF1"/>
    <w:rsid w:val="00D97FD1"/>
    <w:rsid w:val="00DB7272"/>
    <w:rsid w:val="00DC0287"/>
    <w:rsid w:val="00DC3D89"/>
    <w:rsid w:val="00DD3477"/>
    <w:rsid w:val="00DE0D22"/>
    <w:rsid w:val="00DE5036"/>
    <w:rsid w:val="00DF01A2"/>
    <w:rsid w:val="00DF1610"/>
    <w:rsid w:val="00DF77A2"/>
    <w:rsid w:val="00E12605"/>
    <w:rsid w:val="00E21742"/>
    <w:rsid w:val="00E24840"/>
    <w:rsid w:val="00E27780"/>
    <w:rsid w:val="00E300EC"/>
    <w:rsid w:val="00E444AA"/>
    <w:rsid w:val="00E4672B"/>
    <w:rsid w:val="00E526C9"/>
    <w:rsid w:val="00E553E8"/>
    <w:rsid w:val="00E57646"/>
    <w:rsid w:val="00E66619"/>
    <w:rsid w:val="00E732AA"/>
    <w:rsid w:val="00E73A16"/>
    <w:rsid w:val="00E76A3E"/>
    <w:rsid w:val="00E83E12"/>
    <w:rsid w:val="00E93423"/>
    <w:rsid w:val="00EC00CD"/>
    <w:rsid w:val="00EC6B09"/>
    <w:rsid w:val="00ED39EA"/>
    <w:rsid w:val="00EE6886"/>
    <w:rsid w:val="00EF2ACE"/>
    <w:rsid w:val="00EF4908"/>
    <w:rsid w:val="00EF5944"/>
    <w:rsid w:val="00F018DD"/>
    <w:rsid w:val="00F04201"/>
    <w:rsid w:val="00F04C87"/>
    <w:rsid w:val="00F106FF"/>
    <w:rsid w:val="00F1384A"/>
    <w:rsid w:val="00F1675C"/>
    <w:rsid w:val="00F20EF9"/>
    <w:rsid w:val="00F41E24"/>
    <w:rsid w:val="00F454E7"/>
    <w:rsid w:val="00F52E2A"/>
    <w:rsid w:val="00F6273D"/>
    <w:rsid w:val="00F66410"/>
    <w:rsid w:val="00F71BF1"/>
    <w:rsid w:val="00F72550"/>
    <w:rsid w:val="00F76601"/>
    <w:rsid w:val="00F9333C"/>
    <w:rsid w:val="00F95653"/>
    <w:rsid w:val="00F96D44"/>
    <w:rsid w:val="00FA35E8"/>
    <w:rsid w:val="00FA64BE"/>
    <w:rsid w:val="00FB0909"/>
    <w:rsid w:val="00FB0F2F"/>
    <w:rsid w:val="00FB451E"/>
    <w:rsid w:val="00FB4FD5"/>
    <w:rsid w:val="00FD50C2"/>
    <w:rsid w:val="00FD5899"/>
    <w:rsid w:val="00FE72CD"/>
    <w:rsid w:val="00FF0CF5"/>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0EF9"/>
    <w:pPr>
      <w:spacing w:after="0" w:line="240" w:lineRule="auto"/>
      <w:ind w:left="-1080"/>
      <w:jc w:val="center"/>
    </w:pPr>
    <w:rPr>
      <w:rFonts w:ascii="Arial Rounded MT" w:eastAsia="Times New Roman" w:hAnsi="Arial Rounded MT" w:cs="Times New Roman"/>
      <w:b/>
      <w:sz w:val="16"/>
      <w:szCs w:val="20"/>
    </w:rPr>
  </w:style>
  <w:style w:type="character" w:customStyle="1" w:styleId="BodyTextIndentChar">
    <w:name w:val="Body Text Indent Char"/>
    <w:basedOn w:val="DefaultParagraphFont"/>
    <w:link w:val="BodyTextIndent"/>
    <w:rsid w:val="00F20EF9"/>
    <w:rPr>
      <w:rFonts w:ascii="Arial Rounded MT" w:eastAsia="Times New Roman" w:hAnsi="Arial Rounded MT" w:cs="Times New Roman"/>
      <w:b/>
      <w:sz w:val="16"/>
      <w:szCs w:val="20"/>
    </w:rPr>
  </w:style>
  <w:style w:type="paragraph" w:styleId="ListParagraph">
    <w:name w:val="List Paragraph"/>
    <w:basedOn w:val="Normal"/>
    <w:uiPriority w:val="34"/>
    <w:qFormat/>
    <w:rsid w:val="00F20EF9"/>
    <w:pPr>
      <w:ind w:left="720"/>
      <w:contextualSpacing/>
    </w:pPr>
  </w:style>
  <w:style w:type="paragraph" w:styleId="Header">
    <w:name w:val="header"/>
    <w:basedOn w:val="Normal"/>
    <w:link w:val="HeaderChar"/>
    <w:uiPriority w:val="99"/>
    <w:unhideWhenUsed/>
    <w:rsid w:val="00FF0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CF5"/>
  </w:style>
  <w:style w:type="paragraph" w:styleId="Footer">
    <w:name w:val="footer"/>
    <w:basedOn w:val="Normal"/>
    <w:link w:val="FooterChar"/>
    <w:uiPriority w:val="99"/>
    <w:unhideWhenUsed/>
    <w:rsid w:val="00FF0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CF5"/>
  </w:style>
  <w:style w:type="paragraph" w:styleId="BalloonText">
    <w:name w:val="Balloon Text"/>
    <w:basedOn w:val="Normal"/>
    <w:link w:val="BalloonTextChar"/>
    <w:uiPriority w:val="99"/>
    <w:semiHidden/>
    <w:unhideWhenUsed/>
    <w:rsid w:val="00300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A0"/>
    <w:rPr>
      <w:rFonts w:ascii="Tahoma" w:hAnsi="Tahoma" w:cs="Tahoma"/>
      <w:sz w:val="16"/>
      <w:szCs w:val="16"/>
    </w:rPr>
  </w:style>
  <w:style w:type="character" w:styleId="CommentReference">
    <w:name w:val="annotation reference"/>
    <w:basedOn w:val="DefaultParagraphFont"/>
    <w:uiPriority w:val="99"/>
    <w:semiHidden/>
    <w:unhideWhenUsed/>
    <w:rsid w:val="00EF2ACE"/>
    <w:rPr>
      <w:sz w:val="16"/>
      <w:szCs w:val="16"/>
    </w:rPr>
  </w:style>
  <w:style w:type="paragraph" w:styleId="CommentText">
    <w:name w:val="annotation text"/>
    <w:basedOn w:val="Normal"/>
    <w:link w:val="CommentTextChar"/>
    <w:uiPriority w:val="99"/>
    <w:semiHidden/>
    <w:unhideWhenUsed/>
    <w:rsid w:val="00EF2ACE"/>
    <w:pPr>
      <w:spacing w:line="240" w:lineRule="auto"/>
    </w:pPr>
    <w:rPr>
      <w:sz w:val="20"/>
      <w:szCs w:val="20"/>
    </w:rPr>
  </w:style>
  <w:style w:type="character" w:customStyle="1" w:styleId="CommentTextChar">
    <w:name w:val="Comment Text Char"/>
    <w:basedOn w:val="DefaultParagraphFont"/>
    <w:link w:val="CommentText"/>
    <w:uiPriority w:val="99"/>
    <w:semiHidden/>
    <w:rsid w:val="00EF2ACE"/>
    <w:rPr>
      <w:sz w:val="20"/>
      <w:szCs w:val="20"/>
    </w:rPr>
  </w:style>
  <w:style w:type="paragraph" w:styleId="CommentSubject">
    <w:name w:val="annotation subject"/>
    <w:basedOn w:val="CommentText"/>
    <w:next w:val="CommentText"/>
    <w:link w:val="CommentSubjectChar"/>
    <w:uiPriority w:val="99"/>
    <w:semiHidden/>
    <w:unhideWhenUsed/>
    <w:rsid w:val="00EF2ACE"/>
    <w:rPr>
      <w:b/>
      <w:bCs/>
    </w:rPr>
  </w:style>
  <w:style w:type="character" w:customStyle="1" w:styleId="CommentSubjectChar">
    <w:name w:val="Comment Subject Char"/>
    <w:basedOn w:val="CommentTextChar"/>
    <w:link w:val="CommentSubject"/>
    <w:uiPriority w:val="99"/>
    <w:semiHidden/>
    <w:rsid w:val="00EF2ACE"/>
    <w:rPr>
      <w:b/>
      <w:bCs/>
      <w:sz w:val="20"/>
      <w:szCs w:val="20"/>
    </w:rPr>
  </w:style>
  <w:style w:type="table" w:styleId="TableGrid">
    <w:name w:val="Table Grid"/>
    <w:basedOn w:val="TableNormal"/>
    <w:uiPriority w:val="59"/>
    <w:rsid w:val="00956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472A2D"/>
    <w:pPr>
      <w:spacing w:after="0" w:line="240" w:lineRule="auto"/>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0EF9"/>
    <w:pPr>
      <w:spacing w:after="0" w:line="240" w:lineRule="auto"/>
      <w:ind w:left="-1080"/>
      <w:jc w:val="center"/>
    </w:pPr>
    <w:rPr>
      <w:rFonts w:ascii="Arial Rounded MT" w:eastAsia="Times New Roman" w:hAnsi="Arial Rounded MT" w:cs="Times New Roman"/>
      <w:b/>
      <w:sz w:val="16"/>
      <w:szCs w:val="20"/>
    </w:rPr>
  </w:style>
  <w:style w:type="character" w:customStyle="1" w:styleId="BodyTextIndentChar">
    <w:name w:val="Body Text Indent Char"/>
    <w:basedOn w:val="DefaultParagraphFont"/>
    <w:link w:val="BodyTextIndent"/>
    <w:rsid w:val="00F20EF9"/>
    <w:rPr>
      <w:rFonts w:ascii="Arial Rounded MT" w:eastAsia="Times New Roman" w:hAnsi="Arial Rounded MT" w:cs="Times New Roman"/>
      <w:b/>
      <w:sz w:val="16"/>
      <w:szCs w:val="20"/>
    </w:rPr>
  </w:style>
  <w:style w:type="paragraph" w:styleId="ListParagraph">
    <w:name w:val="List Paragraph"/>
    <w:basedOn w:val="Normal"/>
    <w:uiPriority w:val="34"/>
    <w:qFormat/>
    <w:rsid w:val="00F20EF9"/>
    <w:pPr>
      <w:ind w:left="720"/>
      <w:contextualSpacing/>
    </w:pPr>
  </w:style>
  <w:style w:type="paragraph" w:styleId="Header">
    <w:name w:val="header"/>
    <w:basedOn w:val="Normal"/>
    <w:link w:val="HeaderChar"/>
    <w:uiPriority w:val="99"/>
    <w:unhideWhenUsed/>
    <w:rsid w:val="00FF0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CF5"/>
  </w:style>
  <w:style w:type="paragraph" w:styleId="Footer">
    <w:name w:val="footer"/>
    <w:basedOn w:val="Normal"/>
    <w:link w:val="FooterChar"/>
    <w:uiPriority w:val="99"/>
    <w:unhideWhenUsed/>
    <w:rsid w:val="00FF0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CF5"/>
  </w:style>
  <w:style w:type="paragraph" w:styleId="BalloonText">
    <w:name w:val="Balloon Text"/>
    <w:basedOn w:val="Normal"/>
    <w:link w:val="BalloonTextChar"/>
    <w:uiPriority w:val="99"/>
    <w:semiHidden/>
    <w:unhideWhenUsed/>
    <w:rsid w:val="00300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A0"/>
    <w:rPr>
      <w:rFonts w:ascii="Tahoma" w:hAnsi="Tahoma" w:cs="Tahoma"/>
      <w:sz w:val="16"/>
      <w:szCs w:val="16"/>
    </w:rPr>
  </w:style>
  <w:style w:type="character" w:styleId="CommentReference">
    <w:name w:val="annotation reference"/>
    <w:basedOn w:val="DefaultParagraphFont"/>
    <w:uiPriority w:val="99"/>
    <w:semiHidden/>
    <w:unhideWhenUsed/>
    <w:rsid w:val="00EF2ACE"/>
    <w:rPr>
      <w:sz w:val="16"/>
      <w:szCs w:val="16"/>
    </w:rPr>
  </w:style>
  <w:style w:type="paragraph" w:styleId="CommentText">
    <w:name w:val="annotation text"/>
    <w:basedOn w:val="Normal"/>
    <w:link w:val="CommentTextChar"/>
    <w:uiPriority w:val="99"/>
    <w:semiHidden/>
    <w:unhideWhenUsed/>
    <w:rsid w:val="00EF2ACE"/>
    <w:pPr>
      <w:spacing w:line="240" w:lineRule="auto"/>
    </w:pPr>
    <w:rPr>
      <w:sz w:val="20"/>
      <w:szCs w:val="20"/>
    </w:rPr>
  </w:style>
  <w:style w:type="character" w:customStyle="1" w:styleId="CommentTextChar">
    <w:name w:val="Comment Text Char"/>
    <w:basedOn w:val="DefaultParagraphFont"/>
    <w:link w:val="CommentText"/>
    <w:uiPriority w:val="99"/>
    <w:semiHidden/>
    <w:rsid w:val="00EF2ACE"/>
    <w:rPr>
      <w:sz w:val="20"/>
      <w:szCs w:val="20"/>
    </w:rPr>
  </w:style>
  <w:style w:type="paragraph" w:styleId="CommentSubject">
    <w:name w:val="annotation subject"/>
    <w:basedOn w:val="CommentText"/>
    <w:next w:val="CommentText"/>
    <w:link w:val="CommentSubjectChar"/>
    <w:uiPriority w:val="99"/>
    <w:semiHidden/>
    <w:unhideWhenUsed/>
    <w:rsid w:val="00EF2ACE"/>
    <w:rPr>
      <w:b/>
      <w:bCs/>
    </w:rPr>
  </w:style>
  <w:style w:type="character" w:customStyle="1" w:styleId="CommentSubjectChar">
    <w:name w:val="Comment Subject Char"/>
    <w:basedOn w:val="CommentTextChar"/>
    <w:link w:val="CommentSubject"/>
    <w:uiPriority w:val="99"/>
    <w:semiHidden/>
    <w:rsid w:val="00EF2ACE"/>
    <w:rPr>
      <w:b/>
      <w:bCs/>
      <w:sz w:val="20"/>
      <w:szCs w:val="20"/>
    </w:rPr>
  </w:style>
  <w:style w:type="table" w:styleId="TableGrid">
    <w:name w:val="Table Grid"/>
    <w:basedOn w:val="TableNormal"/>
    <w:uiPriority w:val="59"/>
    <w:rsid w:val="00956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472A2D"/>
    <w:pPr>
      <w:spacing w:after="0" w:line="240" w:lineRule="auto"/>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F3D4-B6B3-45C3-A51B-C8C5E163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2898</Words>
  <Characters>16524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State of Georgia-Department of Juvenile Justice</Company>
  <LinksUpToDate>false</LinksUpToDate>
  <CharactersWithSpaces>19384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Barnett</dc:creator>
  <cp:lastModifiedBy>Adam Barnett</cp:lastModifiedBy>
  <cp:revision>2</cp:revision>
  <cp:lastPrinted>2014-12-05T14:18:00Z</cp:lastPrinted>
  <dcterms:created xsi:type="dcterms:W3CDTF">2014-12-08T13:10:00Z</dcterms:created>
  <dcterms:modified xsi:type="dcterms:W3CDTF">2014-12-08T13:10:00Z</dcterms:modified>
</cp:coreProperties>
</file>